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A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A112A7" w:rsidP="0006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F7">
        <w:rPr>
          <w:rFonts w:ascii="Times New Roman" w:hAnsi="Times New Roman" w:cs="Times New Roman"/>
          <w:b/>
          <w:sz w:val="24"/>
          <w:szCs w:val="24"/>
        </w:rPr>
        <w:t>ВЪТРЕШНИ ПРАВИЛА</w:t>
      </w:r>
      <w:r w:rsidRPr="00A112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b/>
          <w:sz w:val="24"/>
          <w:szCs w:val="24"/>
        </w:rPr>
        <w:t xml:space="preserve">за контрол и предотвратяване изпирането на пари и </w:t>
      </w:r>
      <w:r w:rsidRPr="00A112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b/>
          <w:sz w:val="24"/>
          <w:szCs w:val="24"/>
        </w:rPr>
        <w:t>финансирането на тероризма</w:t>
      </w:r>
      <w:r w:rsidRPr="00A112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Фондация „Институт за здравно образование“, </w:t>
      </w:r>
      <w:r w:rsidRPr="00A112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b/>
          <w:sz w:val="24"/>
          <w:szCs w:val="24"/>
        </w:rPr>
        <w:t>БУЛСТАТ</w:t>
      </w:r>
      <w:r w:rsidR="0006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2A7">
        <w:rPr>
          <w:rFonts w:ascii="Times New Roman" w:hAnsi="Times New Roman" w:cs="Times New Roman"/>
          <w:b/>
          <w:sz w:val="24"/>
          <w:szCs w:val="24"/>
          <w:lang w:val="bg-BG"/>
        </w:rPr>
        <w:t>177047615</w:t>
      </w:r>
      <w:r w:rsidRPr="00DB04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2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b/>
          <w:sz w:val="24"/>
          <w:szCs w:val="24"/>
        </w:rPr>
        <w:t>задължено лице по чл.3, ал.2, т. 17от ЗМИП</w:t>
      </w:r>
    </w:p>
    <w:p w:rsidR="00A112A7" w:rsidRPr="00A112A7" w:rsidRDefault="00A112A7" w:rsidP="00A1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12A7" w:rsidRPr="00A112A7" w:rsidRDefault="00A112A7" w:rsidP="00A1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12A7" w:rsidRPr="00A86998" w:rsidRDefault="00A112A7" w:rsidP="00A8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6998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A112A7" w:rsidRPr="00A86998" w:rsidRDefault="00A112A7" w:rsidP="00A8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6998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1.Настоящите Вътрешни правила за контрол и пре</w:t>
      </w:r>
      <w:r>
        <w:rPr>
          <w:rFonts w:ascii="Times New Roman" w:hAnsi="Times New Roman" w:cs="Times New Roman"/>
          <w:sz w:val="24"/>
          <w:szCs w:val="24"/>
        </w:rPr>
        <w:t>дотвратяване изпирането на пари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финансирането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тероризма (наричани по-долу „Вътрешните правила”) са приети на основание чл. 16 (1) от Закона за мерките срещу изпирането на пари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(наричан по-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DB04F7">
        <w:rPr>
          <w:rFonts w:ascii="Times New Roman" w:hAnsi="Times New Roman" w:cs="Times New Roman"/>
          <w:sz w:val="24"/>
          <w:szCs w:val="24"/>
        </w:rPr>
        <w:t>олу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„ЗМИП”),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Pr="00DB04F7">
        <w:rPr>
          <w:rFonts w:ascii="Times New Roman" w:hAnsi="Times New Roman" w:cs="Times New Roman"/>
          <w:sz w:val="24"/>
          <w:szCs w:val="24"/>
        </w:rPr>
        <w:t>с чл.9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(5) от Закона за</w:t>
      </w:r>
      <w:r>
        <w:rPr>
          <w:rFonts w:ascii="Times New Roman" w:hAnsi="Times New Roman" w:cs="Times New Roman"/>
          <w:sz w:val="24"/>
          <w:szCs w:val="24"/>
        </w:rPr>
        <w:t xml:space="preserve"> мерките срещу финансирането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тероризма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(наричан по-долу „ЗМФТ”)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т критериите за разпознаване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съмнителни операции, сделки и дарители, насочени към изпиране на пари и/или финансиране на тероризъм, мерките за превенция на използването на финансовата система за целите на изпирането на пари и финансиране на тероризъм, както и организацията и контрола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по тяхното изпълнение в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Фондация „Институт за здравно образование“, наричано по-долу само ЮЛНЦ.</w:t>
      </w:r>
    </w:p>
    <w:p w:rsidR="00A112A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2.Тези правила се прилагат от служителите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във всички случаи,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когато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последното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като задължено лице по смисъла на чл.3, ал.2, т.17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от ЗМИП.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3.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задължително предприема: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мерки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превенция на използването на финансовата система за целите на изпирането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пари, както следва: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1.идентифициране на дарители и проверка на тяхната идентификация;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2.идентифициране на действителния собственик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дарителя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юридическо лице, съгласно чл.6 (2) от ЗМИП, и предприемане на съответни действия за проверка на неговата идентификация по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начин, който дава достатъчно основание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да приеме за установен действителния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собственик;</w:t>
      </w:r>
    </w:p>
    <w:p w:rsidR="00A112A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прилагане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разширени мерки по отношение на дарител</w:t>
      </w:r>
      <w:r>
        <w:rPr>
          <w:rFonts w:ascii="Times New Roman" w:hAnsi="Times New Roman" w:cs="Times New Roman"/>
          <w:sz w:val="24"/>
          <w:szCs w:val="24"/>
        </w:rPr>
        <w:t>и, които заемат, или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заемали висша държавна длъжност в Република Българ</w:t>
      </w:r>
      <w:r>
        <w:rPr>
          <w:rFonts w:ascii="Times New Roman" w:hAnsi="Times New Roman" w:cs="Times New Roman"/>
          <w:sz w:val="24"/>
          <w:szCs w:val="24"/>
        </w:rPr>
        <w:t>ия или чужда страна, както и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отношение на дарители, които са свързани с тях лица.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4.събиране на информация от дарителя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относно целта и характера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отношението,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което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установено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или предстои да бъде установено с него;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5.текущо наблюдение върху установените търговск</w:t>
      </w:r>
      <w:r>
        <w:rPr>
          <w:rFonts w:ascii="Times New Roman" w:hAnsi="Times New Roman" w:cs="Times New Roman"/>
          <w:sz w:val="24"/>
          <w:szCs w:val="24"/>
        </w:rPr>
        <w:t>и или професионални отношения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проверка на сделките и операциите, извършвани в рамките на тези от</w:t>
      </w:r>
      <w:r>
        <w:rPr>
          <w:rFonts w:ascii="Times New Roman" w:hAnsi="Times New Roman" w:cs="Times New Roman"/>
          <w:sz w:val="24"/>
          <w:szCs w:val="24"/>
        </w:rPr>
        <w:t>ношения, доколко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те съответстват на наличната информация за дарителя, за неговата търговска дейност и рисков профил, в т. ч. изясняване на произхода на средствата в посочените от закона случаи;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разкриване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и предоставяне на информация относно съмнителни операции, сделки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дарители на Дирекция „Финансово разузнаване”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Държавна агенция „Национална сигурност”.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мерки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срещу финансирането на тероризма: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блокиране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парични средства;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предоставяне на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стоки и услуги на лица.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Чл. 4. Вътрешните правила установяват ясни критерии за ефективно разпознаване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на 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съмнителните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операции, сделки и дарители,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насочени към изпиране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6827">
        <w:rPr>
          <w:rFonts w:ascii="Times New Roman" w:hAnsi="Times New Roman" w:cs="Times New Roman"/>
          <w:sz w:val="24"/>
          <w:szCs w:val="24"/>
        </w:rPr>
        <w:t>на пари и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финансирането на тероризъм.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5. Вътрешните правила осигуряват и регламе</w:t>
      </w:r>
      <w:r w:rsidR="00196827">
        <w:rPr>
          <w:rFonts w:ascii="Times New Roman" w:hAnsi="Times New Roman" w:cs="Times New Roman"/>
          <w:sz w:val="24"/>
          <w:szCs w:val="24"/>
        </w:rPr>
        <w:t>нтират задължителния ред за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обучаване на служителите на ЮЛНЦ.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6. Вътрешните правила регламентират събирането, съхраняването и обработването на информация за дарители и извършените от тях сделки/операции.</w:t>
      </w:r>
    </w:p>
    <w:p w:rsidR="00196827" w:rsidRDefault="0019682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486675" w:rsidRDefault="00A112A7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A112A7" w:rsidRPr="00486675" w:rsidRDefault="00A112A7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КРИТЕРИИ ЗА РАЗПОЗНАВАНЕ НА СЪМНИТЕЛНИ ОПЕРАЦИИ, СДЕЛКИ И ДАРИТЕЛИ, СВЪРЗАНИ С ПРАНЕТО НА ПАРИ И ФИНАНСИРАНЕТО НА</w:t>
      </w:r>
    </w:p>
    <w:p w:rsidR="00A112A7" w:rsidRPr="00486675" w:rsidRDefault="00A112A7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ТЕРОРИЗЪМ</w:t>
      </w:r>
    </w:p>
    <w:p w:rsidR="00196827" w:rsidRPr="00DB04F7" w:rsidRDefault="0019682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7. ЮЛНЦ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се ръководи от следните критери</w:t>
      </w:r>
      <w:r w:rsidR="00196827">
        <w:rPr>
          <w:rFonts w:ascii="Times New Roman" w:hAnsi="Times New Roman" w:cs="Times New Roman"/>
          <w:sz w:val="24"/>
          <w:szCs w:val="24"/>
        </w:rPr>
        <w:t>и за разпознаване на съмнителни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операции, сделки и дарители, свързани с прането на пари и финансирането на тероризъм: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(1) Критерии за разпознаване на съмнителни операции</w:t>
      </w:r>
      <w:r w:rsidR="00196827">
        <w:rPr>
          <w:rFonts w:ascii="Times New Roman" w:hAnsi="Times New Roman" w:cs="Times New Roman"/>
          <w:sz w:val="24"/>
          <w:szCs w:val="24"/>
        </w:rPr>
        <w:t xml:space="preserve"> или сделки за изпиране на пари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и финансиране на тероризъм: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1.Характерът на дарението не съответства на целите на организацията;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2. Мащабите на дарението не съответстват на реалните потребности на организацията;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3.Дарението се извършва от физически лица </w:t>
      </w:r>
      <w:r w:rsidR="00196827">
        <w:rPr>
          <w:rFonts w:ascii="Times New Roman" w:hAnsi="Times New Roman" w:cs="Times New Roman"/>
          <w:sz w:val="24"/>
          <w:szCs w:val="24"/>
        </w:rPr>
        <w:t>или фирми, за които се знае или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предполага, че са придобили средствата си чрез престъпна дейност;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4.Волята на дарителя предвижда трансформация на дарението, при което са възможни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закононарушения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и злоупотреби;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5.Дарението се довежда до непосредствените му получатели с помощта на лице или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, за които се предполага, че няма да го предаде на дарения;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6.Дарението е с цел, група или организация, включени в </w:t>
      </w:r>
      <w:r w:rsidR="00196827">
        <w:rPr>
          <w:rFonts w:ascii="Times New Roman" w:hAnsi="Times New Roman" w:cs="Times New Roman"/>
          <w:sz w:val="24"/>
          <w:szCs w:val="24"/>
        </w:rPr>
        <w:t>списъка по чл.5, ал.1 от Закона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за мерките срещу финансирането на тероризма;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7.Дарението, операцията или сделката се реализира с </w:t>
      </w:r>
      <w:r w:rsidR="00196827">
        <w:rPr>
          <w:rFonts w:ascii="Times New Roman" w:hAnsi="Times New Roman" w:cs="Times New Roman"/>
          <w:sz w:val="24"/>
          <w:szCs w:val="24"/>
        </w:rPr>
        <w:t>лице, група или организация, за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които може основателно да се предполага, че са свързани с лица, включени</w:t>
      </w:r>
      <w:r w:rsidR="00196827">
        <w:rPr>
          <w:rFonts w:ascii="Times New Roman" w:hAnsi="Times New Roman" w:cs="Times New Roman"/>
          <w:sz w:val="24"/>
          <w:szCs w:val="24"/>
        </w:rPr>
        <w:t xml:space="preserve"> в списъка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по чл.5, ал.1 от Закона за мерките срещу финансирането на тероризма;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8.Дарение в борй, което изглежда структурирано с цел избягване на изискванията за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автоматично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докладване на касовите операции /няколко последователни дарения в брой, чиито размер е малко под прага на докладване/;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9.Дарения в големи размери, които изглеждат несъв</w:t>
      </w:r>
      <w:r w:rsidR="00196827">
        <w:rPr>
          <w:rFonts w:ascii="Times New Roman" w:hAnsi="Times New Roman" w:cs="Times New Roman"/>
          <w:sz w:val="24"/>
          <w:szCs w:val="24"/>
        </w:rPr>
        <w:t>местими с дейността на дарителя</w:t>
      </w:r>
      <w:r w:rsidRPr="00DB04F7">
        <w:rPr>
          <w:rFonts w:ascii="Times New Roman" w:hAnsi="Times New Roman" w:cs="Times New Roman"/>
          <w:sz w:val="24"/>
          <w:szCs w:val="24"/>
        </w:rPr>
        <w:t>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10.Един дарител извършва няколко операции в рамките на дни, за суми близки,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но 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ненадвишаващи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прага за извършване на идентификация;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lastRenderedPageBreak/>
        <w:t>9.Дарителят извършва дарения, при които изпол</w:t>
      </w:r>
      <w:r w:rsidR="00196827">
        <w:rPr>
          <w:rFonts w:ascii="Times New Roman" w:hAnsi="Times New Roman" w:cs="Times New Roman"/>
          <w:sz w:val="24"/>
          <w:szCs w:val="24"/>
        </w:rPr>
        <w:t>зва голям брой банкноти с малки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номинали и стойността на операциите е близка до прага за идентификация;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10.Когато се извършват повече от едно дарение в един и същи ден, за суми близки до прага за идентификация от различни лица, за които съюда/организацията знае, че са свързани помежду си;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11.Характерът на дейността на дарителя не съответства на природата на дарението;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12.Дарението е от страна, в която не се произвеждат съответните стоки;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13.Дарителят е от страна, икономическото състояние н</w:t>
      </w:r>
      <w:r w:rsidR="00196827">
        <w:rPr>
          <w:rFonts w:ascii="Times New Roman" w:hAnsi="Times New Roman" w:cs="Times New Roman"/>
          <w:sz w:val="24"/>
          <w:szCs w:val="24"/>
        </w:rPr>
        <w:t>а която в момента не предполага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 се извършват големи дарения;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14.Дарения от страни, фигуриращи в списъка на FATF или други страни, считани за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високорискови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(„данъчни убежища”/, офшорни юрисдикции или страни подкрепящи тероризма);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15. Анонимни дарения;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17.Дарения, направени под условие –цялото или час</w:t>
      </w:r>
      <w:r w:rsidR="00196827">
        <w:rPr>
          <w:rFonts w:ascii="Times New Roman" w:hAnsi="Times New Roman" w:cs="Times New Roman"/>
          <w:sz w:val="24"/>
          <w:szCs w:val="24"/>
        </w:rPr>
        <w:t>т от него да бъде използвано по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посочен от дарителя начин;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18.Дарение, осъществено чрез безмитен внос на голя</w:t>
      </w:r>
      <w:r w:rsidR="00196827">
        <w:rPr>
          <w:rFonts w:ascii="Times New Roman" w:hAnsi="Times New Roman" w:cs="Times New Roman"/>
          <w:sz w:val="24"/>
          <w:szCs w:val="24"/>
        </w:rPr>
        <w:t>мо количество акцизни стоки или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стоки с високо</w:t>
      </w:r>
      <w:r w:rsidR="00196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мито;</w:t>
      </w:r>
    </w:p>
    <w:p w:rsidR="00A112A7" w:rsidRPr="00DB04F7" w:rsidRDefault="0019682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112A7" w:rsidRPr="00DB04F7">
        <w:rPr>
          <w:rFonts w:ascii="Times New Roman" w:hAnsi="Times New Roman" w:cs="Times New Roman"/>
          <w:sz w:val="24"/>
          <w:szCs w:val="24"/>
        </w:rPr>
        <w:t>.Освободени от вносни мита дарения, за които може да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предполага, че ще бъдат реализирани чрез търговската мрежа;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(2) Критерии за разпознаване на съмнителни дарители: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1.Представители или пълномощници на физически или юридически лица, представящи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документи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идентичност и правоспособност, чиято автентичност поражда съмнение;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2.Всички физически и юридически лица, групи и организации, ф</w:t>
      </w:r>
      <w:r w:rsidR="003378E6">
        <w:rPr>
          <w:rFonts w:ascii="Times New Roman" w:hAnsi="Times New Roman" w:cs="Times New Roman"/>
          <w:sz w:val="24"/>
          <w:szCs w:val="24"/>
        </w:rPr>
        <w:t xml:space="preserve">игуриращи в списъка по чл.5 </w:t>
      </w:r>
      <w:proofErr w:type="gramStart"/>
      <w:r w:rsidR="003378E6">
        <w:rPr>
          <w:rFonts w:ascii="Times New Roman" w:hAnsi="Times New Roman" w:cs="Times New Roman"/>
          <w:sz w:val="24"/>
          <w:szCs w:val="24"/>
        </w:rPr>
        <w:t xml:space="preserve">от 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ЗМФТ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, който се приема, допълва и изме</w:t>
      </w:r>
      <w:r w:rsidR="003378E6">
        <w:rPr>
          <w:rFonts w:ascii="Times New Roman" w:hAnsi="Times New Roman" w:cs="Times New Roman"/>
          <w:sz w:val="24"/>
          <w:szCs w:val="24"/>
        </w:rPr>
        <w:t>ня от Министерски съвет, спрямо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8E6">
        <w:rPr>
          <w:rFonts w:ascii="Times New Roman" w:hAnsi="Times New Roman" w:cs="Times New Roman"/>
          <w:sz w:val="24"/>
          <w:szCs w:val="24"/>
        </w:rPr>
        <w:t>които се п</w:t>
      </w:r>
      <w:r w:rsidRPr="00DB04F7">
        <w:rPr>
          <w:rFonts w:ascii="Times New Roman" w:hAnsi="Times New Roman" w:cs="Times New Roman"/>
          <w:sz w:val="24"/>
          <w:szCs w:val="24"/>
        </w:rPr>
        <w:t xml:space="preserve">рилагат </w:t>
      </w:r>
    </w:p>
    <w:p w:rsidR="003378E6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мерките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срещу фин</w:t>
      </w:r>
      <w:r w:rsidR="003378E6">
        <w:rPr>
          <w:rFonts w:ascii="Times New Roman" w:hAnsi="Times New Roman" w:cs="Times New Roman"/>
          <w:sz w:val="24"/>
          <w:szCs w:val="24"/>
        </w:rPr>
        <w:t>ансирането на тероризма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12A7" w:rsidRPr="00DB04F7" w:rsidRDefault="003378E6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3.Лица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, включени в списъка на лицата по чл.3 </w:t>
      </w:r>
      <w:r>
        <w:rPr>
          <w:rFonts w:ascii="Times New Roman" w:hAnsi="Times New Roman" w:cs="Times New Roman"/>
          <w:sz w:val="24"/>
          <w:szCs w:val="24"/>
        </w:rPr>
        <w:t>от Закона за информация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необслужвани </w:t>
      </w:r>
      <w:r w:rsidR="00A112A7" w:rsidRPr="00DB04F7">
        <w:rPr>
          <w:rFonts w:ascii="Times New Roman" w:hAnsi="Times New Roman" w:cs="Times New Roman"/>
          <w:sz w:val="24"/>
          <w:szCs w:val="24"/>
        </w:rPr>
        <w:t>кредити;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4.Лица, за които е обществено достояние, че са криминално проявени;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5.Дарите</w:t>
      </w:r>
      <w:r w:rsidR="003378E6">
        <w:rPr>
          <w:rFonts w:ascii="Times New Roman" w:hAnsi="Times New Roman" w:cs="Times New Roman"/>
          <w:sz w:val="24"/>
          <w:szCs w:val="24"/>
        </w:rPr>
        <w:t>ли отказващи да предоставят док</w:t>
      </w:r>
      <w:r w:rsidRPr="00DB04F7">
        <w:rPr>
          <w:rFonts w:ascii="Times New Roman" w:hAnsi="Times New Roman" w:cs="Times New Roman"/>
          <w:sz w:val="24"/>
          <w:szCs w:val="24"/>
        </w:rPr>
        <w:t>ументи за своята идентификация;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6.В представените от дарителя лични документи липс</w:t>
      </w:r>
      <w:r w:rsidR="003378E6">
        <w:rPr>
          <w:rFonts w:ascii="Times New Roman" w:hAnsi="Times New Roman" w:cs="Times New Roman"/>
          <w:sz w:val="24"/>
          <w:szCs w:val="24"/>
        </w:rPr>
        <w:t>ват основни реквизити, които да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8E6">
        <w:rPr>
          <w:rFonts w:ascii="Times New Roman" w:hAnsi="Times New Roman" w:cs="Times New Roman"/>
          <w:sz w:val="24"/>
          <w:szCs w:val="24"/>
        </w:rPr>
        <w:t xml:space="preserve">го </w:t>
      </w:r>
      <w:r w:rsidRPr="00DB04F7">
        <w:rPr>
          <w:rFonts w:ascii="Times New Roman" w:hAnsi="Times New Roman" w:cs="Times New Roman"/>
          <w:sz w:val="24"/>
          <w:szCs w:val="24"/>
        </w:rPr>
        <w:t>идентифицират напълно;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8.Дарителят се идентифицира с чуждестранни </w:t>
      </w:r>
      <w:r w:rsidR="003378E6">
        <w:rPr>
          <w:rFonts w:ascii="Times New Roman" w:hAnsi="Times New Roman" w:cs="Times New Roman"/>
          <w:sz w:val="24"/>
          <w:szCs w:val="24"/>
        </w:rPr>
        <w:t>документи за самоличност, чиято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8E6">
        <w:rPr>
          <w:rFonts w:ascii="Times New Roman" w:hAnsi="Times New Roman" w:cs="Times New Roman"/>
          <w:sz w:val="24"/>
          <w:szCs w:val="24"/>
        </w:rPr>
        <w:t xml:space="preserve">автентичност е </w:t>
      </w:r>
      <w:r w:rsidRPr="00DB04F7">
        <w:rPr>
          <w:rFonts w:ascii="Times New Roman" w:hAnsi="Times New Roman" w:cs="Times New Roman"/>
          <w:sz w:val="24"/>
          <w:szCs w:val="24"/>
        </w:rPr>
        <w:t>трудно да бъде проверена;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9.Дарителят не представя или се опитва да отл</w:t>
      </w:r>
      <w:r w:rsidR="003378E6">
        <w:rPr>
          <w:rFonts w:ascii="Times New Roman" w:hAnsi="Times New Roman" w:cs="Times New Roman"/>
          <w:sz w:val="24"/>
          <w:szCs w:val="24"/>
        </w:rPr>
        <w:t>ожи представянето на определени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8E6">
        <w:rPr>
          <w:rFonts w:ascii="Times New Roman" w:hAnsi="Times New Roman" w:cs="Times New Roman"/>
          <w:sz w:val="24"/>
          <w:szCs w:val="24"/>
        </w:rPr>
        <w:t xml:space="preserve">декларации и </w:t>
      </w:r>
      <w:r w:rsidRPr="00DB04F7">
        <w:rPr>
          <w:rFonts w:ascii="Times New Roman" w:hAnsi="Times New Roman" w:cs="Times New Roman"/>
          <w:sz w:val="24"/>
          <w:szCs w:val="24"/>
        </w:rPr>
        <w:t>актуални състояния;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10.Дарителят посочва противоречиви основания за целите на дарението;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11.Дарител с необичайно добри познания за мерк</w:t>
      </w:r>
      <w:r w:rsidR="003378E6">
        <w:rPr>
          <w:rFonts w:ascii="Times New Roman" w:hAnsi="Times New Roman" w:cs="Times New Roman"/>
          <w:sz w:val="24"/>
          <w:szCs w:val="24"/>
        </w:rPr>
        <w:t xml:space="preserve">ите срещу изпиране на пари и финансиране на </w:t>
      </w:r>
      <w:r w:rsidRPr="00DB04F7">
        <w:rPr>
          <w:rFonts w:ascii="Times New Roman" w:hAnsi="Times New Roman" w:cs="Times New Roman"/>
          <w:sz w:val="24"/>
          <w:szCs w:val="24"/>
        </w:rPr>
        <w:t>тероризъм;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12.Дарителят е съпровождан и наблюдаван и дарениет</w:t>
      </w:r>
      <w:r w:rsidR="003378E6">
        <w:rPr>
          <w:rFonts w:ascii="Times New Roman" w:hAnsi="Times New Roman" w:cs="Times New Roman"/>
          <w:sz w:val="24"/>
          <w:szCs w:val="24"/>
        </w:rPr>
        <w:t>о се извършва в присъствието на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8E6">
        <w:rPr>
          <w:rFonts w:ascii="Times New Roman" w:hAnsi="Times New Roman" w:cs="Times New Roman"/>
          <w:sz w:val="24"/>
          <w:szCs w:val="24"/>
        </w:rPr>
        <w:t xml:space="preserve">трети </w:t>
      </w:r>
      <w:r w:rsidRPr="00DB04F7">
        <w:rPr>
          <w:rFonts w:ascii="Times New Roman" w:hAnsi="Times New Roman" w:cs="Times New Roman"/>
          <w:sz w:val="24"/>
          <w:szCs w:val="24"/>
        </w:rPr>
        <w:t>лица;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13.Дарителят предлага да бъдат съставени неве</w:t>
      </w:r>
      <w:r w:rsidR="003378E6">
        <w:rPr>
          <w:rFonts w:ascii="Times New Roman" w:hAnsi="Times New Roman" w:cs="Times New Roman"/>
          <w:sz w:val="24"/>
          <w:szCs w:val="24"/>
        </w:rPr>
        <w:t>рни документи при извършване на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дарението;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lastRenderedPageBreak/>
        <w:t>14.Дарителят предлага дарението да бъде официално оформено по на</w:t>
      </w:r>
      <w:r w:rsidR="003378E6">
        <w:rPr>
          <w:rFonts w:ascii="Times New Roman" w:hAnsi="Times New Roman" w:cs="Times New Roman"/>
          <w:sz w:val="24"/>
          <w:szCs w:val="24"/>
        </w:rPr>
        <w:t xml:space="preserve">чин, различен </w:t>
      </w:r>
      <w:proofErr w:type="gramStart"/>
      <w:r w:rsidR="003378E6">
        <w:rPr>
          <w:rFonts w:ascii="Times New Roman" w:hAnsi="Times New Roman" w:cs="Times New Roman"/>
          <w:sz w:val="24"/>
          <w:szCs w:val="24"/>
        </w:rPr>
        <w:t xml:space="preserve">от 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действителните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отношения между страните;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15.Дарителят посочва като адрес, адреса на трето ли</w:t>
      </w:r>
      <w:r w:rsidR="003378E6">
        <w:rPr>
          <w:rFonts w:ascii="Times New Roman" w:hAnsi="Times New Roman" w:cs="Times New Roman"/>
          <w:sz w:val="24"/>
          <w:szCs w:val="24"/>
        </w:rPr>
        <w:t>це или адрес за кореспонденция,</w:t>
      </w:r>
      <w:r w:rsidR="003378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8E6">
        <w:rPr>
          <w:rFonts w:ascii="Times New Roman" w:hAnsi="Times New Roman" w:cs="Times New Roman"/>
          <w:sz w:val="24"/>
          <w:szCs w:val="24"/>
        </w:rPr>
        <w:t xml:space="preserve">който е </w:t>
      </w:r>
      <w:r w:rsidRPr="00DB04F7">
        <w:rPr>
          <w:rFonts w:ascii="Times New Roman" w:hAnsi="Times New Roman" w:cs="Times New Roman"/>
          <w:sz w:val="24"/>
          <w:szCs w:val="24"/>
        </w:rPr>
        <w:t>пощенска кутия;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16.Подписът в документа за самоличност не съот</w:t>
      </w:r>
      <w:r w:rsidR="003378E6">
        <w:rPr>
          <w:rFonts w:ascii="Times New Roman" w:hAnsi="Times New Roman" w:cs="Times New Roman"/>
          <w:sz w:val="24"/>
          <w:szCs w:val="24"/>
        </w:rPr>
        <w:t>ветства на положения от дарител</w:t>
      </w:r>
      <w:r w:rsidRPr="00DB04F7">
        <w:rPr>
          <w:rFonts w:ascii="Times New Roman" w:hAnsi="Times New Roman" w:cs="Times New Roman"/>
          <w:sz w:val="24"/>
          <w:szCs w:val="24"/>
        </w:rPr>
        <w:t>я във връзк</w:t>
      </w:r>
      <w:r w:rsidR="003378E6">
        <w:rPr>
          <w:rFonts w:ascii="Times New Roman" w:hAnsi="Times New Roman" w:cs="Times New Roman"/>
          <w:sz w:val="24"/>
          <w:szCs w:val="24"/>
        </w:rPr>
        <w:t xml:space="preserve">а с </w:t>
      </w:r>
      <w:r w:rsidRPr="00DB04F7">
        <w:rPr>
          <w:rFonts w:ascii="Times New Roman" w:hAnsi="Times New Roman" w:cs="Times New Roman"/>
          <w:sz w:val="24"/>
          <w:szCs w:val="24"/>
        </w:rPr>
        <w:t>дарението;</w:t>
      </w:r>
    </w:p>
    <w:p w:rsidR="00A112A7" w:rsidRPr="00DB04F7" w:rsidRDefault="003378E6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17.Дарител</w:t>
      </w:r>
      <w:r w:rsidR="00A112A7" w:rsidRPr="00DB04F7">
        <w:rPr>
          <w:rFonts w:ascii="Times New Roman" w:hAnsi="Times New Roman" w:cs="Times New Roman"/>
          <w:sz w:val="24"/>
          <w:szCs w:val="24"/>
        </w:rPr>
        <w:t>и свързани със: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страни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, не прилагащи препоръките на FATF</w:t>
      </w:r>
      <w:r w:rsidR="003378E6">
        <w:rPr>
          <w:rFonts w:ascii="Times New Roman" w:hAnsi="Times New Roman" w:cs="Times New Roman"/>
          <w:sz w:val="24"/>
          <w:szCs w:val="24"/>
        </w:rPr>
        <w:t xml:space="preserve"> /Financial Action Task Force/ -Международна </w:t>
      </w:r>
      <w:r w:rsidRPr="00DB04F7">
        <w:rPr>
          <w:rFonts w:ascii="Times New Roman" w:hAnsi="Times New Roman" w:cs="Times New Roman"/>
          <w:sz w:val="24"/>
          <w:szCs w:val="24"/>
        </w:rPr>
        <w:t>организация, която определя стандартите в противодейс</w:t>
      </w:r>
      <w:r w:rsidR="003378E6">
        <w:rPr>
          <w:rFonts w:ascii="Times New Roman" w:hAnsi="Times New Roman" w:cs="Times New Roman"/>
          <w:sz w:val="24"/>
          <w:szCs w:val="24"/>
        </w:rPr>
        <w:t xml:space="preserve">твието на изпирането на пари и </w:t>
      </w:r>
      <w:r w:rsidRPr="00DB04F7">
        <w:rPr>
          <w:rFonts w:ascii="Times New Roman" w:hAnsi="Times New Roman" w:cs="Times New Roman"/>
          <w:sz w:val="24"/>
          <w:szCs w:val="24"/>
        </w:rPr>
        <w:t>финансирането на тероризма;</w:t>
      </w:r>
    </w:p>
    <w:p w:rsidR="00A112A7" w:rsidRPr="00DB04F7" w:rsidRDefault="003378E6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2A7" w:rsidRPr="00DB04F7">
        <w:rPr>
          <w:rFonts w:ascii="Times New Roman" w:hAnsi="Times New Roman" w:cs="Times New Roman"/>
          <w:sz w:val="24"/>
          <w:szCs w:val="24"/>
        </w:rPr>
        <w:t>страни със статут на офшорни зони или определени като данъчни убежища;</w:t>
      </w:r>
    </w:p>
    <w:p w:rsidR="003378E6" w:rsidRDefault="003378E6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486675" w:rsidRDefault="00A112A7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A112A7" w:rsidRPr="00486675" w:rsidRDefault="003378E6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ИДЕНТИФИЦИРАНЕ НА ДАРИТЕЛ</w:t>
      </w:r>
      <w:r w:rsidR="00A112A7" w:rsidRPr="00486675">
        <w:rPr>
          <w:rFonts w:ascii="Times New Roman" w:hAnsi="Times New Roman" w:cs="Times New Roman"/>
          <w:b/>
          <w:sz w:val="24"/>
          <w:szCs w:val="24"/>
        </w:rPr>
        <w:t>И</w:t>
      </w:r>
    </w:p>
    <w:p w:rsidR="008520BF" w:rsidRDefault="008520B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8520B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8.Под идентифициране на дарители се разбира установяване на необходимите и </w:t>
      </w:r>
      <w:r w:rsidR="00A112A7" w:rsidRPr="00DB04F7">
        <w:rPr>
          <w:rFonts w:ascii="Times New Roman" w:hAnsi="Times New Roman" w:cs="Times New Roman"/>
          <w:sz w:val="24"/>
          <w:szCs w:val="24"/>
        </w:rPr>
        <w:t>допустими от закона данн</w:t>
      </w:r>
      <w:r>
        <w:rPr>
          <w:rFonts w:ascii="Times New Roman" w:hAnsi="Times New Roman" w:cs="Times New Roman"/>
          <w:sz w:val="24"/>
          <w:szCs w:val="24"/>
        </w:rPr>
        <w:t xml:space="preserve">и за пълното индивидуализиране на участниците в операцията, </w:t>
      </w:r>
      <w:r w:rsidR="00A112A7" w:rsidRPr="00DB04F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рението и физическото/ите лице/а –действителен/нисобственик/цина дарителя–юридическо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лице.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9. (1). В съответст</w:t>
      </w:r>
      <w:r w:rsidR="008520BF">
        <w:rPr>
          <w:rFonts w:ascii="Times New Roman" w:hAnsi="Times New Roman" w:cs="Times New Roman"/>
          <w:sz w:val="24"/>
          <w:szCs w:val="24"/>
        </w:rPr>
        <w:t xml:space="preserve">вие с изискването на чл. 4, ал.1 от ЗМИП, </w:t>
      </w:r>
      <w:r w:rsidRPr="00DB04F7">
        <w:rPr>
          <w:rFonts w:ascii="Times New Roman" w:hAnsi="Times New Roman" w:cs="Times New Roman"/>
          <w:sz w:val="24"/>
          <w:szCs w:val="24"/>
        </w:rPr>
        <w:t>дарите</w:t>
      </w:r>
      <w:r w:rsidR="008520BF">
        <w:rPr>
          <w:rFonts w:ascii="Times New Roman" w:hAnsi="Times New Roman" w:cs="Times New Roman"/>
          <w:sz w:val="24"/>
          <w:szCs w:val="24"/>
        </w:rPr>
        <w:t xml:space="preserve">лите на ЮЛНЦсе </w:t>
      </w:r>
      <w:r w:rsidRPr="00DB04F7">
        <w:rPr>
          <w:rFonts w:ascii="Times New Roman" w:hAnsi="Times New Roman" w:cs="Times New Roman"/>
          <w:sz w:val="24"/>
          <w:szCs w:val="24"/>
        </w:rPr>
        <w:t>идентифицират за</w:t>
      </w:r>
      <w:r w:rsidR="008520BF">
        <w:rPr>
          <w:rFonts w:ascii="Times New Roman" w:hAnsi="Times New Roman" w:cs="Times New Roman"/>
          <w:sz w:val="24"/>
          <w:szCs w:val="24"/>
        </w:rPr>
        <w:t>дължително при установяване на професионални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20BF">
        <w:rPr>
          <w:rFonts w:ascii="Times New Roman" w:hAnsi="Times New Roman" w:cs="Times New Roman"/>
          <w:sz w:val="24"/>
          <w:szCs w:val="24"/>
        </w:rPr>
        <w:t>отношения, както и</w:t>
      </w:r>
      <w:r w:rsidR="00852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20BF">
        <w:rPr>
          <w:rFonts w:ascii="Times New Roman" w:hAnsi="Times New Roman" w:cs="Times New Roman"/>
          <w:sz w:val="24"/>
          <w:szCs w:val="24"/>
        </w:rPr>
        <w:t xml:space="preserve">при извършване на операция и </w:t>
      </w:r>
      <w:r w:rsidR="00A66FF7">
        <w:rPr>
          <w:rFonts w:ascii="Times New Roman" w:hAnsi="Times New Roman" w:cs="Times New Roman"/>
          <w:sz w:val="24"/>
          <w:szCs w:val="24"/>
        </w:rPr>
        <w:t>дар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66FF7">
        <w:rPr>
          <w:rFonts w:ascii="Times New Roman" w:hAnsi="Times New Roman" w:cs="Times New Roman"/>
          <w:sz w:val="24"/>
          <w:szCs w:val="24"/>
        </w:rPr>
        <w:t>ние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>на стойност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>над 30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 xml:space="preserve">000 </w:t>
      </w:r>
      <w:r w:rsidRPr="00DB04F7">
        <w:rPr>
          <w:rFonts w:ascii="Times New Roman" w:hAnsi="Times New Roman" w:cs="Times New Roman"/>
          <w:sz w:val="24"/>
          <w:szCs w:val="24"/>
        </w:rPr>
        <w:t>лв.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Дарителите</w:t>
      </w:r>
      <w:r w:rsidR="00A112A7" w:rsidRPr="00DB04F7">
        <w:rPr>
          <w:rFonts w:ascii="Times New Roman" w:hAnsi="Times New Roman" w:cs="Times New Roman"/>
          <w:sz w:val="24"/>
          <w:szCs w:val="24"/>
        </w:rPr>
        <w:t>се идентифицират задължително и в с</w:t>
      </w:r>
      <w:r>
        <w:rPr>
          <w:rFonts w:ascii="Times New Roman" w:hAnsi="Times New Roman" w:cs="Times New Roman"/>
          <w:sz w:val="24"/>
          <w:szCs w:val="24"/>
        </w:rPr>
        <w:t>лучаите на извършване на повече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112A7" w:rsidRPr="00DB04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операция или дарение</w:t>
      </w:r>
      <w:r w:rsidR="00A112A7" w:rsidRPr="00DB04F7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ито по отделно не надвишават 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лв., но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налице данни, че </w:t>
      </w:r>
      <w:r w:rsidR="00A112A7" w:rsidRPr="00DB04F7">
        <w:rPr>
          <w:rFonts w:ascii="Times New Roman" w:hAnsi="Times New Roman" w:cs="Times New Roman"/>
          <w:sz w:val="24"/>
          <w:szCs w:val="24"/>
        </w:rPr>
        <w:t>операциите или сделките са свързани.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10. Независимо от горното,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дарителите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се идентифицират задължително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всички случаи, когато възникне съ</w:t>
      </w:r>
      <w:r w:rsidR="00A66FF7">
        <w:rPr>
          <w:rFonts w:ascii="Times New Roman" w:hAnsi="Times New Roman" w:cs="Times New Roman"/>
          <w:sz w:val="24"/>
          <w:szCs w:val="24"/>
        </w:rPr>
        <w:t xml:space="preserve">мнение за изпиране на пари или финансиране на 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тероризъм, независимо о</w:t>
      </w:r>
      <w:r w:rsidR="00A66FF7">
        <w:rPr>
          <w:rFonts w:ascii="Times New Roman" w:hAnsi="Times New Roman" w:cs="Times New Roman"/>
          <w:sz w:val="24"/>
          <w:szCs w:val="24"/>
        </w:rPr>
        <w:t>т стойността на операциите или даренията</w:t>
      </w:r>
      <w:r w:rsidRPr="00DB04F7">
        <w:rPr>
          <w:rFonts w:ascii="Times New Roman" w:hAnsi="Times New Roman" w:cs="Times New Roman"/>
          <w:sz w:val="24"/>
          <w:szCs w:val="24"/>
        </w:rPr>
        <w:t>.</w:t>
      </w:r>
    </w:p>
    <w:p w:rsidR="00A66F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Чл. 11. </w:t>
      </w:r>
      <w:r w:rsidR="00A66FF7">
        <w:rPr>
          <w:rFonts w:ascii="Times New Roman" w:hAnsi="Times New Roman" w:cs="Times New Roman"/>
          <w:sz w:val="24"/>
          <w:szCs w:val="24"/>
        </w:rPr>
        <w:t>(1) В случаите, когато служителят на ЮЛНЦне може да извършиидентификация на дарителя</w:t>
      </w:r>
      <w:r w:rsidRPr="00DB04F7">
        <w:rPr>
          <w:rFonts w:ascii="Times New Roman" w:hAnsi="Times New Roman" w:cs="Times New Roman"/>
          <w:sz w:val="24"/>
          <w:szCs w:val="24"/>
        </w:rPr>
        <w:t>в съответствие с изискванията н</w:t>
      </w:r>
      <w:r w:rsidR="00A66FF7">
        <w:rPr>
          <w:rFonts w:ascii="Times New Roman" w:hAnsi="Times New Roman" w:cs="Times New Roman"/>
          <w:sz w:val="24"/>
          <w:szCs w:val="24"/>
        </w:rPr>
        <w:t xml:space="preserve">а </w:t>
      </w:r>
      <w:r w:rsidRPr="00DB04F7">
        <w:rPr>
          <w:rFonts w:ascii="Times New Roman" w:hAnsi="Times New Roman" w:cs="Times New Roman"/>
          <w:sz w:val="24"/>
          <w:szCs w:val="24"/>
        </w:rPr>
        <w:t xml:space="preserve">ЗМИП и </w:t>
      </w:r>
      <w:r w:rsidR="00A66FF7">
        <w:rPr>
          <w:rFonts w:ascii="Times New Roman" w:hAnsi="Times New Roman" w:cs="Times New Roman"/>
          <w:sz w:val="24"/>
          <w:szCs w:val="24"/>
        </w:rPr>
        <w:t>актовете по прилагането му, той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 xml:space="preserve">е длъжен да откаже сключване на </w:t>
      </w:r>
      <w:r w:rsidRPr="00DB04F7">
        <w:rPr>
          <w:rFonts w:ascii="Times New Roman" w:hAnsi="Times New Roman" w:cs="Times New Roman"/>
          <w:sz w:val="24"/>
          <w:szCs w:val="24"/>
        </w:rPr>
        <w:t>договор</w:t>
      </w:r>
      <w:r w:rsidR="00A66FF7">
        <w:rPr>
          <w:rFonts w:ascii="Times New Roman" w:hAnsi="Times New Roman" w:cs="Times New Roman"/>
          <w:sz w:val="24"/>
          <w:szCs w:val="24"/>
        </w:rPr>
        <w:t xml:space="preserve"> или извършване на операция илиустановяването на търговски или професионални отношения.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Ако служителят на ЮЛНЦ</w:t>
      </w:r>
      <w:r w:rsidR="00A112A7" w:rsidRPr="00DB04F7">
        <w:rPr>
          <w:rFonts w:ascii="Times New Roman" w:hAnsi="Times New Roman" w:cs="Times New Roman"/>
          <w:sz w:val="24"/>
          <w:szCs w:val="24"/>
        </w:rPr>
        <w:t>не мо</w:t>
      </w:r>
      <w:r>
        <w:rPr>
          <w:rFonts w:ascii="Times New Roman" w:hAnsi="Times New Roman" w:cs="Times New Roman"/>
          <w:sz w:val="24"/>
          <w:szCs w:val="24"/>
        </w:rPr>
        <w:t xml:space="preserve">же да извърши идентификация на дарителв </w:t>
      </w:r>
      <w:r w:rsidR="00A112A7" w:rsidRPr="00DB04F7">
        <w:rPr>
          <w:rFonts w:ascii="Times New Roman" w:hAnsi="Times New Roman" w:cs="Times New Roman"/>
          <w:sz w:val="24"/>
          <w:szCs w:val="24"/>
        </w:rPr>
        <w:t>съответствие с изискванията на ЗМИП и актовете по пр</w:t>
      </w:r>
      <w:r>
        <w:rPr>
          <w:rFonts w:ascii="Times New Roman" w:hAnsi="Times New Roman" w:cs="Times New Roman"/>
          <w:sz w:val="24"/>
          <w:szCs w:val="24"/>
        </w:rPr>
        <w:t>илагането му, в случай на вече установени търговски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професионални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отношения,</w:t>
      </w:r>
      <w:r>
        <w:rPr>
          <w:rFonts w:ascii="Times New Roman" w:hAnsi="Times New Roman" w:cs="Times New Roman"/>
          <w:sz w:val="24"/>
          <w:szCs w:val="24"/>
        </w:rPr>
        <w:t xml:space="preserve"> той е длъжен да прекрати тези отношения, на основание чл. 4, ал. 4 от ЗМИП.В тези случаипредседателят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преценява дал</w:t>
      </w:r>
      <w:r>
        <w:rPr>
          <w:rFonts w:ascii="Times New Roman" w:hAnsi="Times New Roman" w:cs="Times New Roman"/>
          <w:sz w:val="24"/>
          <w:szCs w:val="24"/>
        </w:rPr>
        <w:t>и да уведоми дирекция „Финансово разузнаване”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Държавна агенция „Национална сигурност”по реда на чл. 11от ЗМИП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12. При установяване </w:t>
      </w:r>
      <w:r w:rsidR="00A112A7" w:rsidRPr="00DB04F7">
        <w:rPr>
          <w:rFonts w:ascii="Times New Roman" w:hAnsi="Times New Roman" w:cs="Times New Roman"/>
          <w:sz w:val="24"/>
          <w:szCs w:val="24"/>
        </w:rPr>
        <w:t>на отношения или</w:t>
      </w:r>
      <w:r>
        <w:rPr>
          <w:rFonts w:ascii="Times New Roman" w:hAnsi="Times New Roman" w:cs="Times New Roman"/>
          <w:sz w:val="24"/>
          <w:szCs w:val="24"/>
        </w:rPr>
        <w:t xml:space="preserve"> осъществяване на операция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дарение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чрез електронно изявление, електронен документ и</w:t>
      </w:r>
      <w:r>
        <w:rPr>
          <w:rFonts w:ascii="Times New Roman" w:hAnsi="Times New Roman" w:cs="Times New Roman"/>
          <w:sz w:val="24"/>
          <w:szCs w:val="24"/>
        </w:rPr>
        <w:t>ли електронен подпис, или друга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без присъствието на дарителя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служителите са длъжни да </w:t>
      </w:r>
      <w:r>
        <w:rPr>
          <w:rFonts w:ascii="Times New Roman" w:hAnsi="Times New Roman" w:cs="Times New Roman"/>
          <w:sz w:val="24"/>
          <w:szCs w:val="24"/>
        </w:rPr>
        <w:t>предприемат подходящи мерки за удостоверяване истинността на идентификационните данни на дарителя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Чл. 13. (1)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В съответствие с чл.4, ал.7 ЗМИП, ЮЛНЦ–в</w:t>
      </w:r>
      <w:r>
        <w:rPr>
          <w:rFonts w:ascii="Times New Roman" w:hAnsi="Times New Roman" w:cs="Times New Roman"/>
          <w:sz w:val="24"/>
          <w:szCs w:val="24"/>
        </w:rPr>
        <w:t xml:space="preserve"> качеството си на задължено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смисъла на чл.3, ал.2, т.17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от същия за</w:t>
      </w:r>
      <w:r>
        <w:rPr>
          <w:rFonts w:ascii="Times New Roman" w:hAnsi="Times New Roman" w:cs="Times New Roman"/>
          <w:sz w:val="24"/>
          <w:szCs w:val="24"/>
        </w:rPr>
        <w:t>кон, и в частност всички негови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служители,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A112A7" w:rsidRPr="00DB04F7">
        <w:rPr>
          <w:rFonts w:ascii="Times New Roman" w:hAnsi="Times New Roman" w:cs="Times New Roman"/>
          <w:sz w:val="24"/>
          <w:szCs w:val="24"/>
        </w:rPr>
        <w:t>длъж</w:t>
      </w:r>
      <w:r>
        <w:rPr>
          <w:rFonts w:ascii="Times New Roman" w:hAnsi="Times New Roman" w:cs="Times New Roman"/>
          <w:sz w:val="24"/>
          <w:szCs w:val="24"/>
        </w:rPr>
        <w:t>ни да изискват деклариране произхода на средства от страна на дарителя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>: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лучавяне на дарение на стойност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над 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112A7" w:rsidRPr="00DB04F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тяхната равностойност в чужда валута,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което дарителят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следва д</w:t>
      </w:r>
      <w:r>
        <w:rPr>
          <w:rFonts w:ascii="Times New Roman" w:hAnsi="Times New Roman" w:cs="Times New Roman"/>
          <w:sz w:val="24"/>
          <w:szCs w:val="24"/>
        </w:rPr>
        <w:t>а попълни пред представител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декларация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образец –Приложение No 1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Правилника за прилаг</w:t>
      </w:r>
      <w:r>
        <w:rPr>
          <w:rFonts w:ascii="Times New Roman" w:hAnsi="Times New Roman" w:cs="Times New Roman"/>
          <w:sz w:val="24"/>
          <w:szCs w:val="24"/>
        </w:rPr>
        <w:t>ане на закона за мерките срещу изпирането на пари (ППЗМИП</w:t>
      </w:r>
      <w:r w:rsidR="00A112A7" w:rsidRPr="00DB04F7">
        <w:rPr>
          <w:rFonts w:ascii="Times New Roman" w:hAnsi="Times New Roman" w:cs="Times New Roman"/>
          <w:sz w:val="24"/>
          <w:szCs w:val="24"/>
        </w:rPr>
        <w:t>).</w:t>
      </w:r>
    </w:p>
    <w:p w:rsidR="00A66F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2A7" w:rsidRPr="00DB04F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еди извършване на операция или получавяне на дарение на стойност над 10000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тяхната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равностойност в чужда валута, когато </w:t>
      </w:r>
      <w:r>
        <w:rPr>
          <w:rFonts w:ascii="Times New Roman" w:hAnsi="Times New Roman" w:cs="Times New Roman"/>
          <w:sz w:val="24"/>
          <w:szCs w:val="24"/>
        </w:rPr>
        <w:t>Дарението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извършва в брой,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което дарителят</w:t>
      </w:r>
      <w:r w:rsidR="00A112A7" w:rsidRPr="00DB04F7">
        <w:rPr>
          <w:rFonts w:ascii="Times New Roman" w:hAnsi="Times New Roman" w:cs="Times New Roman"/>
          <w:sz w:val="24"/>
          <w:szCs w:val="24"/>
        </w:rPr>
        <w:t>следва д</w:t>
      </w:r>
      <w:r>
        <w:rPr>
          <w:rFonts w:ascii="Times New Roman" w:hAnsi="Times New Roman" w:cs="Times New Roman"/>
          <w:sz w:val="24"/>
          <w:szCs w:val="24"/>
        </w:rPr>
        <w:t xml:space="preserve">а попълни пред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ЮЛНЦ</w:t>
      </w:r>
      <w:r w:rsidR="00A112A7" w:rsidRPr="00DB04F7">
        <w:rPr>
          <w:rFonts w:ascii="Times New Roman" w:hAnsi="Times New Roman" w:cs="Times New Roman"/>
          <w:sz w:val="24"/>
          <w:szCs w:val="24"/>
        </w:rPr>
        <w:t>дек</w:t>
      </w:r>
      <w:r>
        <w:rPr>
          <w:rFonts w:ascii="Times New Roman" w:hAnsi="Times New Roman" w:cs="Times New Roman"/>
          <w:sz w:val="24"/>
          <w:szCs w:val="24"/>
        </w:rPr>
        <w:t>ларация по образец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No 1 към ППЗМИП.</w:t>
      </w:r>
    </w:p>
    <w:p w:rsidR="00A66F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2A7" w:rsidRPr="00DB04F7">
        <w:rPr>
          <w:rFonts w:ascii="Times New Roman" w:hAnsi="Times New Roman" w:cs="Times New Roman"/>
          <w:sz w:val="24"/>
          <w:szCs w:val="24"/>
        </w:rPr>
        <w:t>) При неп</w:t>
      </w:r>
      <w:r>
        <w:rPr>
          <w:rFonts w:ascii="Times New Roman" w:hAnsi="Times New Roman" w:cs="Times New Roman"/>
          <w:sz w:val="24"/>
          <w:szCs w:val="24"/>
        </w:rPr>
        <w:t>редставяне на декларация по чл.4,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от ЗМИП служителите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длъжни да откажат </w:t>
      </w:r>
      <w:r>
        <w:rPr>
          <w:rFonts w:ascii="Times New Roman" w:hAnsi="Times New Roman" w:cs="Times New Roman"/>
          <w:sz w:val="24"/>
          <w:szCs w:val="24"/>
        </w:rPr>
        <w:t>извършването на операцията или получаване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дарението.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тези случаи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прец</w:t>
      </w:r>
      <w:r>
        <w:rPr>
          <w:rFonts w:ascii="Times New Roman" w:hAnsi="Times New Roman" w:cs="Times New Roman"/>
          <w:sz w:val="24"/>
          <w:szCs w:val="24"/>
        </w:rPr>
        <w:t>енява дали да уведоми дирекция „Финансово разузнаване”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Държавна агенция „Национална сигурност”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реда на чл. 11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ЗМИП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14. (1) Идентификация на дарител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и не </w:t>
      </w:r>
      <w:r>
        <w:rPr>
          <w:rFonts w:ascii="Times New Roman" w:hAnsi="Times New Roman" w:cs="Times New Roman"/>
          <w:sz w:val="24"/>
          <w:szCs w:val="24"/>
        </w:rPr>
        <w:t xml:space="preserve">се извършва и декларация по чл.4, ал.7 от ЗМИП не се подава, когато </w:t>
      </w:r>
      <w:r w:rsidR="00A112A7" w:rsidRPr="00DB04F7">
        <w:rPr>
          <w:rFonts w:ascii="Times New Roman" w:hAnsi="Times New Roman" w:cs="Times New Roman"/>
          <w:sz w:val="24"/>
          <w:szCs w:val="24"/>
        </w:rPr>
        <w:t>дарит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>т е българс</w:t>
      </w:r>
      <w:r>
        <w:rPr>
          <w:rFonts w:ascii="Times New Roman" w:hAnsi="Times New Roman" w:cs="Times New Roman"/>
          <w:sz w:val="24"/>
          <w:szCs w:val="24"/>
        </w:rPr>
        <w:t>ка банка, чужда банка, получила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A112A7" w:rsidRPr="00DB04F7">
        <w:rPr>
          <w:rFonts w:ascii="Times New Roman" w:hAnsi="Times New Roman" w:cs="Times New Roman"/>
          <w:sz w:val="24"/>
          <w:szCs w:val="24"/>
        </w:rPr>
        <w:t>(лицензия) от Българската народна</w:t>
      </w:r>
      <w:r>
        <w:rPr>
          <w:rFonts w:ascii="Times New Roman" w:hAnsi="Times New Roman" w:cs="Times New Roman"/>
          <w:sz w:val="24"/>
          <w:szCs w:val="24"/>
        </w:rPr>
        <w:t xml:space="preserve"> банка да осъществява дейност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страната чрез клон, банка от страна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членка на Европейския съюз, както и банка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държава,</w:t>
      </w:r>
      <w:r>
        <w:rPr>
          <w:rFonts w:ascii="Times New Roman" w:hAnsi="Times New Roman" w:cs="Times New Roman"/>
          <w:sz w:val="24"/>
          <w:szCs w:val="24"/>
        </w:rPr>
        <w:t xml:space="preserve"> включена в списък (обнародван в „Държавен вестник”), утвърден със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съвместна заповед на министъра на финансите и председател</w:t>
      </w:r>
      <w:r w:rsidR="00A112A7" w:rsidRPr="00DB04F7">
        <w:rPr>
          <w:rFonts w:ascii="Times New Roman" w:hAnsi="Times New Roman" w:cs="Times New Roman"/>
          <w:sz w:val="24"/>
          <w:szCs w:val="24"/>
        </w:rPr>
        <w:t>я на Българската</w:t>
      </w:r>
      <w:r>
        <w:rPr>
          <w:rFonts w:ascii="Times New Roman" w:hAnsi="Times New Roman" w:cs="Times New Roman"/>
          <w:sz w:val="24"/>
          <w:szCs w:val="24"/>
        </w:rPr>
        <w:t xml:space="preserve"> народна банка, както и когато дарителя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държавен орган на Република Българ</w:t>
      </w:r>
      <w:r w:rsidR="00A112A7" w:rsidRPr="00DB04F7">
        <w:rPr>
          <w:rFonts w:ascii="Times New Roman" w:hAnsi="Times New Roman" w:cs="Times New Roman"/>
          <w:sz w:val="24"/>
          <w:szCs w:val="24"/>
        </w:rPr>
        <w:t>ия.</w:t>
      </w:r>
    </w:p>
    <w:p w:rsidR="00A66F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Чл. 15. (1) Ако операцията или дарението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се извършва чрез пр</w:t>
      </w:r>
      <w:r>
        <w:rPr>
          <w:rFonts w:ascii="Times New Roman" w:hAnsi="Times New Roman" w:cs="Times New Roman"/>
          <w:sz w:val="24"/>
          <w:szCs w:val="24"/>
        </w:rPr>
        <w:t>едставител, служителите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ЮЛНЦ</w:t>
      </w:r>
      <w:r w:rsidR="00A112A7" w:rsidRPr="00DB04F7">
        <w:rPr>
          <w:rFonts w:ascii="Times New Roman" w:hAnsi="Times New Roman" w:cs="Times New Roman"/>
          <w:sz w:val="24"/>
          <w:szCs w:val="24"/>
        </w:rPr>
        <w:t>са длъжни да изискат доказателства за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лната власт и да идентифицират </w:t>
      </w:r>
      <w:r w:rsidR="00A112A7" w:rsidRPr="00DB0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редставителя и представлявания.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(2)Ако операцията или дарениетосе извършва от името и за сметка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трето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идентифицират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лицето из</w:t>
      </w:r>
      <w:r>
        <w:rPr>
          <w:rFonts w:ascii="Times New Roman" w:hAnsi="Times New Roman" w:cs="Times New Roman"/>
          <w:sz w:val="24"/>
          <w:szCs w:val="24"/>
        </w:rPr>
        <w:t>вършило операцията/дарерението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лицето,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името на което се извършва операцията/дарението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112A7" w:rsidRPr="00DB04F7">
        <w:rPr>
          <w:rFonts w:ascii="Times New Roman" w:hAnsi="Times New Roman" w:cs="Times New Roman"/>
          <w:sz w:val="24"/>
          <w:szCs w:val="24"/>
        </w:rPr>
        <w:t>В случаите на извършва</w:t>
      </w:r>
      <w:r>
        <w:rPr>
          <w:rFonts w:ascii="Times New Roman" w:hAnsi="Times New Roman" w:cs="Times New Roman"/>
          <w:sz w:val="24"/>
          <w:szCs w:val="24"/>
        </w:rPr>
        <w:t>не на операция чрез трето лице –приносител на документи за извършване на операцията/дарението, служителите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следва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идентифицират и третото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приносител на документите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При съмнение, че л</w:t>
      </w:r>
      <w:r>
        <w:rPr>
          <w:rFonts w:ascii="Times New Roman" w:hAnsi="Times New Roman" w:cs="Times New Roman"/>
          <w:sz w:val="24"/>
          <w:szCs w:val="24"/>
        </w:rPr>
        <w:t>ицето, извършващо операция или дарение, не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действа от свое име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своя </w:t>
      </w:r>
      <w:r w:rsidR="00A66FF7">
        <w:rPr>
          <w:rFonts w:ascii="Times New Roman" w:hAnsi="Times New Roman" w:cs="Times New Roman"/>
          <w:sz w:val="24"/>
          <w:szCs w:val="24"/>
        </w:rPr>
        <w:t>сметка, служителите уведомяват председателя на ЮЛНЦ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>и предприемат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 xml:space="preserve">подходящи 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FF7">
        <w:rPr>
          <w:rFonts w:ascii="Times New Roman" w:hAnsi="Times New Roman" w:cs="Times New Roman"/>
          <w:sz w:val="24"/>
          <w:szCs w:val="24"/>
        </w:rPr>
        <w:t>мерки, определени в ППЗМИП,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за събиране на информация </w:t>
      </w:r>
      <w:r w:rsidR="00A66FF7">
        <w:rPr>
          <w:rFonts w:ascii="Times New Roman" w:hAnsi="Times New Roman" w:cs="Times New Roman"/>
          <w:sz w:val="24"/>
          <w:szCs w:val="24"/>
        </w:rPr>
        <w:t xml:space="preserve">за идентифициране на лицето, в </w:t>
      </w:r>
      <w:r w:rsidRPr="00DB04F7">
        <w:rPr>
          <w:rFonts w:ascii="Times New Roman" w:hAnsi="Times New Roman" w:cs="Times New Roman"/>
          <w:sz w:val="24"/>
          <w:szCs w:val="24"/>
        </w:rPr>
        <w:t>чиято полза ре</w:t>
      </w:r>
      <w:r w:rsidR="00A66FF7">
        <w:rPr>
          <w:rFonts w:ascii="Times New Roman" w:hAnsi="Times New Roman" w:cs="Times New Roman"/>
          <w:sz w:val="24"/>
          <w:szCs w:val="24"/>
        </w:rPr>
        <w:t>ално се извършва операцията или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дарението.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Чл. 16. Проверката </w:t>
      </w:r>
      <w:r w:rsidR="00A66FF7">
        <w:rPr>
          <w:rFonts w:ascii="Times New Roman" w:hAnsi="Times New Roman" w:cs="Times New Roman"/>
          <w:sz w:val="24"/>
          <w:szCs w:val="24"/>
        </w:rPr>
        <w:t xml:space="preserve">на идентификационните данни на дарителите и физическите </w:t>
      </w:r>
      <w:proofErr w:type="gramStart"/>
      <w:r w:rsidR="00A66FF7">
        <w:rPr>
          <w:rFonts w:ascii="Times New Roman" w:hAnsi="Times New Roman" w:cs="Times New Roman"/>
          <w:sz w:val="24"/>
          <w:szCs w:val="24"/>
        </w:rPr>
        <w:t xml:space="preserve">лица </w:t>
      </w:r>
      <w:r w:rsidR="00A66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–</w:t>
      </w:r>
      <w:proofErr w:type="gramEnd"/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действителнисобственици,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се извършва </w:t>
      </w:r>
      <w:r>
        <w:rPr>
          <w:rFonts w:ascii="Times New Roman" w:hAnsi="Times New Roman" w:cs="Times New Roman"/>
          <w:sz w:val="24"/>
          <w:szCs w:val="24"/>
        </w:rPr>
        <w:t>преди установяване на търговски/професионални</w:t>
      </w:r>
      <w:r w:rsidR="00A112A7" w:rsidRPr="00DB04F7">
        <w:rPr>
          <w:rFonts w:ascii="Times New Roman" w:hAnsi="Times New Roman" w:cs="Times New Roman"/>
          <w:sz w:val="24"/>
          <w:szCs w:val="24"/>
        </w:rPr>
        <w:t>отношения или извършван</w:t>
      </w:r>
      <w:r>
        <w:rPr>
          <w:rFonts w:ascii="Times New Roman" w:hAnsi="Times New Roman" w:cs="Times New Roman"/>
          <w:sz w:val="24"/>
          <w:szCs w:val="24"/>
        </w:rPr>
        <w:t>ето на сделки и операции между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дарителя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66F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Чл. 17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112A7" w:rsidRPr="00DB04F7">
        <w:rPr>
          <w:rFonts w:ascii="Times New Roman" w:hAnsi="Times New Roman" w:cs="Times New Roman"/>
          <w:sz w:val="24"/>
          <w:szCs w:val="24"/>
        </w:rPr>
        <w:t>Идентифицирането и проверката на идентификац</w:t>
      </w:r>
      <w:r>
        <w:rPr>
          <w:rFonts w:ascii="Times New Roman" w:hAnsi="Times New Roman" w:cs="Times New Roman"/>
          <w:sz w:val="24"/>
          <w:szCs w:val="24"/>
        </w:rPr>
        <w:t xml:space="preserve">ията на юредически лица има за </w:t>
      </w:r>
      <w:r w:rsidR="00A112A7" w:rsidRPr="00DB04F7">
        <w:rPr>
          <w:rFonts w:ascii="Times New Roman" w:hAnsi="Times New Roman" w:cs="Times New Roman"/>
          <w:sz w:val="24"/>
          <w:szCs w:val="24"/>
        </w:rPr>
        <w:t>цел да установи собствеността, управлението и контрола на дарителя–</w:t>
      </w:r>
      <w:r>
        <w:rPr>
          <w:rFonts w:ascii="Times New Roman" w:hAnsi="Times New Roman" w:cs="Times New Roman"/>
          <w:sz w:val="24"/>
          <w:szCs w:val="24"/>
        </w:rPr>
        <w:t xml:space="preserve">юридическо </w:t>
      </w:r>
      <w:r>
        <w:rPr>
          <w:rFonts w:ascii="Times New Roman" w:hAnsi="Times New Roman" w:cs="Times New Roman"/>
          <w:sz w:val="24"/>
          <w:szCs w:val="24"/>
        </w:rPr>
        <w:lastRenderedPageBreak/>
        <w:t>лице.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Идентифицирането на дарител –</w:t>
      </w:r>
      <w:r w:rsidR="00A112A7" w:rsidRPr="00DB04F7">
        <w:rPr>
          <w:rFonts w:ascii="Times New Roman" w:hAnsi="Times New Roman" w:cs="Times New Roman"/>
          <w:sz w:val="24"/>
          <w:szCs w:val="24"/>
        </w:rPr>
        <w:t>юридическо лице, се изв</w:t>
      </w:r>
      <w:r>
        <w:rPr>
          <w:rFonts w:ascii="Times New Roman" w:hAnsi="Times New Roman" w:cs="Times New Roman"/>
          <w:sz w:val="24"/>
          <w:szCs w:val="24"/>
        </w:rPr>
        <w:t>ършва съгласно изискванията на чл.6, ал. 1, т. 1 от ЗМИП.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18. Дарителите –</w:t>
      </w:r>
      <w:r w:rsidR="00A112A7" w:rsidRPr="00DB04F7">
        <w:rPr>
          <w:rFonts w:ascii="Times New Roman" w:hAnsi="Times New Roman" w:cs="Times New Roman"/>
          <w:sz w:val="24"/>
          <w:szCs w:val="24"/>
        </w:rPr>
        <w:t>юридически лица с номи</w:t>
      </w:r>
      <w:r>
        <w:rPr>
          <w:rFonts w:ascii="Times New Roman" w:hAnsi="Times New Roman" w:cs="Times New Roman"/>
          <w:sz w:val="24"/>
          <w:szCs w:val="24"/>
        </w:rPr>
        <w:t xml:space="preserve">нални директори, секретари или </w:t>
      </w:r>
      <w:r w:rsidR="00A112A7" w:rsidRPr="00DB04F7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еници на капитала, представят удостоверение или друг валиден документ според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законодателството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юрисдикцията, в </w:t>
      </w:r>
      <w:r w:rsidR="00A66FF7">
        <w:rPr>
          <w:rFonts w:ascii="Times New Roman" w:hAnsi="Times New Roman" w:cs="Times New Roman"/>
          <w:sz w:val="24"/>
          <w:szCs w:val="24"/>
        </w:rPr>
        <w:t xml:space="preserve">която са регистрирани, изходящ </w:t>
      </w:r>
      <w:r w:rsidRPr="00DB04F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централен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регистър </w:t>
      </w:r>
      <w:r w:rsidR="00A112A7" w:rsidRPr="00DB04F7">
        <w:rPr>
          <w:rFonts w:ascii="Times New Roman" w:hAnsi="Times New Roman" w:cs="Times New Roman"/>
          <w:sz w:val="24"/>
          <w:szCs w:val="24"/>
        </w:rPr>
        <w:t>или от регистриращ агент, от койт</w:t>
      </w:r>
      <w:r>
        <w:rPr>
          <w:rFonts w:ascii="Times New Roman" w:hAnsi="Times New Roman" w:cs="Times New Roman"/>
          <w:sz w:val="24"/>
          <w:szCs w:val="24"/>
        </w:rPr>
        <w:t>о е видно кои са действителните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собственици на дарителя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19. (1) Действителен собственик на дарител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 лице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физическолице или физически лица, които пряко или непряко притежават повече от 25 на сто от дяловете на капитала на дарител–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юридическо лице, или пряко или непряко 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112A7" w:rsidRPr="00DB04F7">
        <w:rPr>
          <w:rFonts w:ascii="Times New Roman" w:hAnsi="Times New Roman" w:cs="Times New Roman"/>
          <w:sz w:val="24"/>
          <w:szCs w:val="24"/>
        </w:rPr>
        <w:t>контролират.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2A7" w:rsidRPr="00DB04F7">
        <w:rPr>
          <w:rFonts w:ascii="Times New Roman" w:hAnsi="Times New Roman" w:cs="Times New Roman"/>
          <w:sz w:val="24"/>
          <w:szCs w:val="24"/>
        </w:rPr>
        <w:t>. физическо лице или физически лица,</w:t>
      </w:r>
      <w:r>
        <w:rPr>
          <w:rFonts w:ascii="Times New Roman" w:hAnsi="Times New Roman" w:cs="Times New Roman"/>
          <w:sz w:val="24"/>
          <w:szCs w:val="24"/>
        </w:rPr>
        <w:t xml:space="preserve"> в полза на които се управлява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разпределя 25 на сто </w:t>
      </w:r>
      <w:r w:rsidR="00A112A7" w:rsidRPr="00DB04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повече от имуществото, когато дарителя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>т е фондация, орг</w:t>
      </w:r>
      <w:r>
        <w:rPr>
          <w:rFonts w:ascii="Times New Roman" w:hAnsi="Times New Roman" w:cs="Times New Roman"/>
          <w:sz w:val="24"/>
          <w:szCs w:val="24"/>
        </w:rPr>
        <w:t xml:space="preserve">анизация с нестопанска цел или </w:t>
      </w:r>
      <w:r w:rsidR="00A112A7" w:rsidRPr="00DB04F7">
        <w:rPr>
          <w:rFonts w:ascii="Times New Roman" w:hAnsi="Times New Roman" w:cs="Times New Roman"/>
          <w:sz w:val="24"/>
          <w:szCs w:val="24"/>
        </w:rPr>
        <w:t>друго лице, което осъществява доверително управление на имущество.</w:t>
      </w:r>
    </w:p>
    <w:p w:rsidR="00A112A7" w:rsidRPr="00DB04F7" w:rsidRDefault="00A66FF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</w:t>
      </w:r>
      <w:r w:rsidR="00A112A7" w:rsidRPr="00DB04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физически лица, в чиято полза е създадена ил</w:t>
      </w:r>
      <w:r w:rsidR="00FD35B5">
        <w:rPr>
          <w:rFonts w:ascii="Times New Roman" w:hAnsi="Times New Roman" w:cs="Times New Roman"/>
          <w:sz w:val="24"/>
          <w:szCs w:val="24"/>
        </w:rPr>
        <w:t>и действа фондация, организация</w:t>
      </w:r>
      <w:r w:rsidR="00FD35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35B5">
        <w:rPr>
          <w:rFonts w:ascii="Times New Roman" w:hAnsi="Times New Roman" w:cs="Times New Roman"/>
          <w:sz w:val="24"/>
          <w:szCs w:val="24"/>
        </w:rPr>
        <w:t xml:space="preserve">с </w:t>
      </w:r>
      <w:r w:rsidR="00FD35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нестопанска цел или друго лице, което осъщес</w:t>
      </w:r>
      <w:r w:rsidR="00FD35B5">
        <w:rPr>
          <w:rFonts w:ascii="Times New Roman" w:hAnsi="Times New Roman" w:cs="Times New Roman"/>
          <w:sz w:val="24"/>
          <w:szCs w:val="24"/>
        </w:rPr>
        <w:t>твява доверително управление на</w:t>
      </w:r>
      <w:r w:rsidR="00FD35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имущество. </w:t>
      </w:r>
    </w:p>
    <w:p w:rsidR="00A112A7" w:rsidRPr="00DB04F7" w:rsidRDefault="00FD35B5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Служителите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идентифицират физическите лица, коит</w:t>
      </w:r>
      <w:r>
        <w:rPr>
          <w:rFonts w:ascii="Times New Roman" w:hAnsi="Times New Roman" w:cs="Times New Roman"/>
          <w:sz w:val="24"/>
          <w:szCs w:val="24"/>
        </w:rPr>
        <w:t xml:space="preserve">о са действителни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собственици на дарител–</w:t>
      </w:r>
      <w:r w:rsidR="00A112A7" w:rsidRPr="00DB04F7">
        <w:rPr>
          <w:rFonts w:ascii="Times New Roman" w:hAnsi="Times New Roman" w:cs="Times New Roman"/>
          <w:sz w:val="24"/>
          <w:szCs w:val="24"/>
        </w:rPr>
        <w:t>юридическо лице, пълномощниците и</w:t>
      </w:r>
      <w:r>
        <w:rPr>
          <w:rFonts w:ascii="Times New Roman" w:hAnsi="Times New Roman" w:cs="Times New Roman"/>
          <w:sz w:val="24"/>
          <w:szCs w:val="24"/>
        </w:rPr>
        <w:t xml:space="preserve"> другите физически лица, които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подлежат на идентифициране в</w:t>
      </w:r>
      <w:r>
        <w:rPr>
          <w:rFonts w:ascii="Times New Roman" w:hAnsi="Times New Roman" w:cs="Times New Roman"/>
          <w:sz w:val="24"/>
          <w:szCs w:val="24"/>
        </w:rPr>
        <w:t xml:space="preserve">ъв връзка с идентификацията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дарител–юридическо лице, </w:t>
      </w:r>
      <w:r w:rsidR="00A112A7" w:rsidRPr="00DB04F7">
        <w:rPr>
          <w:rFonts w:ascii="Times New Roman" w:hAnsi="Times New Roman" w:cs="Times New Roman"/>
          <w:sz w:val="24"/>
          <w:szCs w:val="24"/>
        </w:rPr>
        <w:t>съгласно правилата за и</w:t>
      </w:r>
      <w:r>
        <w:rPr>
          <w:rFonts w:ascii="Times New Roman" w:hAnsi="Times New Roman" w:cs="Times New Roman"/>
          <w:sz w:val="24"/>
          <w:szCs w:val="24"/>
        </w:rPr>
        <w:t>дентификация на физически лица,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 в чл.6, ал.1, т.2 от ЗМИП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(3) При липса на дру</w:t>
      </w:r>
      <w:r w:rsidR="003E3E37">
        <w:rPr>
          <w:rFonts w:ascii="Times New Roman" w:hAnsi="Times New Roman" w:cs="Times New Roman"/>
          <w:sz w:val="24"/>
          <w:szCs w:val="24"/>
        </w:rPr>
        <w:t xml:space="preserve">га възможност идентифицирането може да се извърши чрез </w:t>
      </w:r>
      <w:r w:rsidRPr="00DB04F7">
        <w:rPr>
          <w:rFonts w:ascii="Times New Roman" w:hAnsi="Times New Roman" w:cs="Times New Roman"/>
          <w:sz w:val="24"/>
          <w:szCs w:val="24"/>
        </w:rPr>
        <w:t>декларация по образец, подп</w:t>
      </w:r>
      <w:r w:rsidR="003E3E37">
        <w:rPr>
          <w:rFonts w:ascii="Times New Roman" w:hAnsi="Times New Roman" w:cs="Times New Roman"/>
          <w:sz w:val="24"/>
          <w:szCs w:val="24"/>
        </w:rPr>
        <w:t xml:space="preserve">исана от законния представител </w:t>
      </w:r>
      <w:r w:rsidRPr="00DB04F7">
        <w:rPr>
          <w:rFonts w:ascii="Times New Roman" w:hAnsi="Times New Roman" w:cs="Times New Roman"/>
          <w:sz w:val="24"/>
          <w:szCs w:val="24"/>
        </w:rPr>
        <w:t xml:space="preserve">или пълномощника на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юридическото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лице. Декларацията съдържа реквизитите съ</w:t>
      </w:r>
      <w:r w:rsidR="003E3E37">
        <w:rPr>
          <w:rFonts w:ascii="Times New Roman" w:hAnsi="Times New Roman" w:cs="Times New Roman"/>
          <w:sz w:val="24"/>
          <w:szCs w:val="24"/>
        </w:rPr>
        <w:t xml:space="preserve">гласно Приложение No 2 от </w:t>
      </w:r>
      <w:r w:rsidRPr="00DB04F7">
        <w:rPr>
          <w:rFonts w:ascii="Times New Roman" w:hAnsi="Times New Roman" w:cs="Times New Roman"/>
          <w:sz w:val="24"/>
          <w:szCs w:val="24"/>
        </w:rPr>
        <w:t>ППЗМИП.</w:t>
      </w:r>
    </w:p>
    <w:p w:rsidR="00A112A7" w:rsidRPr="00DB04F7" w:rsidRDefault="003E3E3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Деклар</w:t>
      </w:r>
      <w:r w:rsidR="00A112A7" w:rsidRPr="00DB04F7">
        <w:rPr>
          <w:rFonts w:ascii="Times New Roman" w:hAnsi="Times New Roman" w:cs="Times New Roman"/>
          <w:sz w:val="24"/>
          <w:szCs w:val="24"/>
        </w:rPr>
        <w:t>ацията за идентификация на физическ</w:t>
      </w:r>
      <w:r>
        <w:rPr>
          <w:rFonts w:ascii="Times New Roman" w:hAnsi="Times New Roman" w:cs="Times New Roman"/>
          <w:sz w:val="24"/>
          <w:szCs w:val="24"/>
        </w:rPr>
        <w:t>ите лица, които са действителни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собственици на дарител–юридическо лице (по чл.6, ал.2 от ЗМИП) се подава пред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служител</w:t>
      </w:r>
      <w:r w:rsidR="000650D1">
        <w:rPr>
          <w:rFonts w:ascii="Times New Roman" w:hAnsi="Times New Roman" w:cs="Times New Roman"/>
          <w:sz w:val="24"/>
          <w:szCs w:val="24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на ЮЛНЦ</w:t>
      </w:r>
      <w:r w:rsidR="00065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преди </w:t>
      </w:r>
      <w:r w:rsidR="000650D1">
        <w:rPr>
          <w:rFonts w:ascii="Times New Roman" w:hAnsi="Times New Roman" w:cs="Times New Roman"/>
          <w:sz w:val="24"/>
          <w:szCs w:val="24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извършването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на операцията или сделката.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20. (1)</w:t>
      </w:r>
      <w:r w:rsidR="000650D1">
        <w:rPr>
          <w:rFonts w:ascii="Times New Roman" w:hAnsi="Times New Roman" w:cs="Times New Roman"/>
          <w:sz w:val="24"/>
          <w:szCs w:val="24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Идентифицирането и проверката на идентификацията на физическите лица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DB04F7">
        <w:rPr>
          <w:rFonts w:ascii="Times New Roman" w:hAnsi="Times New Roman" w:cs="Times New Roman"/>
          <w:sz w:val="24"/>
          <w:szCs w:val="24"/>
        </w:rPr>
        <w:t>извършва чрез представяне на официален докумен</w:t>
      </w:r>
      <w:r w:rsidR="000650D1">
        <w:rPr>
          <w:rFonts w:ascii="Times New Roman" w:hAnsi="Times New Roman" w:cs="Times New Roman"/>
          <w:sz w:val="24"/>
          <w:szCs w:val="24"/>
        </w:rPr>
        <w:t>т за самоличност и регистриране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неговия вид, номер, издател, както и на името, адреса и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единния граждански номер.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(2) Физическите лица –еднолични търговци, представ</w:t>
      </w:r>
      <w:r w:rsidR="000650D1">
        <w:rPr>
          <w:rFonts w:ascii="Times New Roman" w:hAnsi="Times New Roman" w:cs="Times New Roman"/>
          <w:sz w:val="24"/>
          <w:szCs w:val="24"/>
        </w:rPr>
        <w:t>ят и документите, които се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изискват за идентификация на юридически лица.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21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1) При идентифицирането на физически лица се събират данни за: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имената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и място на раждане;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3. официален личен идентификационен номер (ЕГН, ЛНЧ и др.) или друг уникален елемент за установяване на самоличност (номер, дата и място на издаване на документ за самоличност), съдържащ се в официален докумен</w:t>
      </w:r>
      <w:r w:rsidR="000650D1">
        <w:rPr>
          <w:rFonts w:ascii="Times New Roman" w:hAnsi="Times New Roman" w:cs="Times New Roman"/>
          <w:sz w:val="24"/>
          <w:szCs w:val="24"/>
        </w:rPr>
        <w:t>т, чиито срок на валидност не 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изтекъл и на който има снимка на дарителя;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държава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постоянно пре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биваване и адрес (номер на пощенска кутия не е достатъчен).</w:t>
      </w:r>
    </w:p>
    <w:p w:rsidR="000650D1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B04F7">
        <w:rPr>
          <w:rFonts w:ascii="Times New Roman" w:hAnsi="Times New Roman" w:cs="Times New Roman"/>
          <w:sz w:val="24"/>
          <w:szCs w:val="24"/>
        </w:rPr>
        <w:t>(2) Служителите на ЮЛНЦ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могат да събират и други</w:t>
      </w:r>
      <w:r w:rsidR="000650D1">
        <w:rPr>
          <w:rFonts w:ascii="Times New Roman" w:hAnsi="Times New Roman" w:cs="Times New Roman"/>
          <w:sz w:val="24"/>
          <w:szCs w:val="24"/>
        </w:rPr>
        <w:t xml:space="preserve"> данни, след преценка на риска,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като: адрес за кореспонденция; телефон; факс и адрес на електронна поща; професи</w:t>
      </w:r>
      <w:r w:rsidR="000650D1">
        <w:rPr>
          <w:rFonts w:ascii="Times New Roman" w:hAnsi="Times New Roman" w:cs="Times New Roman"/>
          <w:sz w:val="24"/>
          <w:szCs w:val="24"/>
        </w:rPr>
        <w:t>я;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заемана длъжност; работодател.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(3) Когато в официалния документ за самоличност не се съдържат данните по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предходните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алинеи, събирането им се извършва чрез представяне на други официални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документи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Чл.22. (1) След оценка на потенциалния риск, председателя на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ЮНЛЦ </w:t>
      </w:r>
      <w:r w:rsidRPr="00DB04F7">
        <w:rPr>
          <w:rFonts w:ascii="Times New Roman" w:hAnsi="Times New Roman" w:cs="Times New Roman"/>
          <w:sz w:val="24"/>
          <w:szCs w:val="24"/>
        </w:rPr>
        <w:t>/определеният служител, отговарящ за прилагане на мерките срещу изпиране на пари вЮЛНЦ, прилага разширени мерки за идентификация и проверка на идентификацията на дарители.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(2) Разширените мерки за идентификация и проверка на идентификацията на дарители могат да включват: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1.изискване на допълнителни документи и информация от даритела;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събиране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сведения за даритела от друг дарител;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3.справки в правно –информационни системи, търговски регистри и други достъпни за справка източници на информация за дарителя;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наличие на информация за дарителя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в Интернет;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дейността на дарителя</w:t>
      </w:r>
      <w:r w:rsidR="000650D1">
        <w:rPr>
          <w:rFonts w:ascii="Times New Roman" w:hAnsi="Times New Roman" w:cs="Times New Roman"/>
          <w:sz w:val="24"/>
          <w:szCs w:val="24"/>
        </w:rPr>
        <w:t>, включително чре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DB04F7">
        <w:rPr>
          <w:rFonts w:ascii="Times New Roman" w:hAnsi="Times New Roman" w:cs="Times New Roman"/>
          <w:sz w:val="24"/>
          <w:szCs w:val="24"/>
        </w:rPr>
        <w:t>: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на посочения от него адрес; посещение на негови административни или </w:t>
      </w:r>
      <w:r w:rsidR="000650D1">
        <w:rPr>
          <w:rFonts w:ascii="Times New Roman" w:hAnsi="Times New Roman" w:cs="Times New Roman"/>
          <w:sz w:val="24"/>
          <w:szCs w:val="24"/>
        </w:rPr>
        <w:t>производствени помещения;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осъществяване на контакти по посочен в официални доку</w:t>
      </w:r>
      <w:r w:rsidR="000650D1">
        <w:rPr>
          <w:rFonts w:ascii="Times New Roman" w:hAnsi="Times New Roman" w:cs="Times New Roman"/>
          <w:sz w:val="24"/>
          <w:szCs w:val="24"/>
        </w:rPr>
        <w:t>менти адрес или телефон;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събиране на сведения от контрагенти на дарителя;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6.проверка при работодателя на дарител–физическо лице;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7. мерки, съдържащи се в нормативни актове, в указания на Министъра на финансите или на Председателя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Държавна агенция „Национална сигурност”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и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директора на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Дирекция „Финансово разузнаване”;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23. (1) Служителите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са длъжни да прилагат разширени мерки за идентификация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и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на идентификацията на дарители, ко</w:t>
      </w:r>
      <w:r w:rsidR="000650D1">
        <w:rPr>
          <w:rFonts w:ascii="Times New Roman" w:hAnsi="Times New Roman" w:cs="Times New Roman"/>
          <w:sz w:val="24"/>
          <w:szCs w:val="24"/>
        </w:rPr>
        <w:t>ито заемат или са заемали висша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държавна длъжност в Република България или в чужд</w:t>
      </w:r>
      <w:r w:rsidR="000650D1">
        <w:rPr>
          <w:rFonts w:ascii="Times New Roman" w:hAnsi="Times New Roman" w:cs="Times New Roman"/>
          <w:sz w:val="24"/>
          <w:szCs w:val="24"/>
        </w:rPr>
        <w:t>а държава, както и по отношение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дарители, които са свързани с тях лица.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(2) Служителите са длъжни да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поставят под особено наблюдение всички сложни или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необичайно големи дарения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или операции, както и всички дарения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и операции, които нямат явна икономическа или законна цел, която </w:t>
      </w:r>
      <w:r w:rsidR="000650D1">
        <w:rPr>
          <w:rFonts w:ascii="Times New Roman" w:hAnsi="Times New Roman" w:cs="Times New Roman"/>
          <w:sz w:val="24"/>
          <w:szCs w:val="24"/>
        </w:rPr>
        <w:t>може да бъде установена с оглед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информацията на разположение на ЮЛНЦ, или не съответстват на наличната информация за дарителя.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(3) При установяване на даренияили операции по ал. 2 служителите на ЮЛНЦ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са длъжни да съберат информация относно съществените елементи и размери на операцията или сделката, съответните документи </w:t>
      </w:r>
      <w:r w:rsidR="000650D1">
        <w:rPr>
          <w:rFonts w:ascii="Times New Roman" w:hAnsi="Times New Roman" w:cs="Times New Roman"/>
          <w:sz w:val="24"/>
          <w:szCs w:val="24"/>
        </w:rPr>
        <w:t>и другите идентифициращи данни.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Събраната информация се документира и съхранява така, че да е на разположение на дирекция „Финансово разузнаване”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Държавна агенция „Национална сигурност”</w:t>
      </w:r>
      <w:r w:rsidR="000650D1">
        <w:rPr>
          <w:rFonts w:ascii="Times New Roman" w:hAnsi="Times New Roman" w:cs="Times New Roman"/>
          <w:sz w:val="24"/>
          <w:szCs w:val="24"/>
        </w:rPr>
        <w:t>, на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съответните органи за надзор и на одиторите.</w:t>
      </w:r>
    </w:p>
    <w:p w:rsidR="00A112A7" w:rsidRPr="000650D1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B04F7">
        <w:rPr>
          <w:rFonts w:ascii="Times New Roman" w:hAnsi="Times New Roman" w:cs="Times New Roman"/>
          <w:sz w:val="24"/>
          <w:szCs w:val="24"/>
        </w:rPr>
        <w:lastRenderedPageBreak/>
        <w:t>Чл. 24. ЮЛНЦ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50D1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>Председателя на УС</w:t>
      </w:r>
      <w:r w:rsidRPr="00DB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за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отговорник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прилагане на мерките срещу изпиране на пари.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Председателят на УС може да възложи тези функции и на специално упълномощено за целта лице.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25. Отговорникът за прилагане на мерките срещу изпиране на пари/</w:t>
      </w:r>
      <w:r w:rsidR="000650D1">
        <w:rPr>
          <w:rFonts w:ascii="Times New Roman" w:hAnsi="Times New Roman" w:cs="Times New Roman"/>
          <w:sz w:val="24"/>
          <w:szCs w:val="24"/>
        </w:rPr>
        <w:t>Председателят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50D1">
        <w:rPr>
          <w:rFonts w:ascii="Times New Roman" w:hAnsi="Times New Roman" w:cs="Times New Roman"/>
          <w:sz w:val="24"/>
          <w:szCs w:val="24"/>
        </w:rPr>
        <w:t>на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ЮЛНЦ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извършва следните дейности: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1.събира, обработва, съхранява и разкрива информация пред Дирекция „Финансово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разузнаване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>”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ДАНС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за конкретните операции или дарения;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изисква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сведения за произхода на паричните средства, предмет на операциите или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даренията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 удостоверяване с декларация произхода на тези средства;</w:t>
      </w:r>
    </w:p>
    <w:p w:rsidR="00A112A7" w:rsidRPr="00DB04F7" w:rsidRDefault="000650D1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събира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дарители и поддържа точна и подробна документация за операциите им с паричните средства.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4. при съмнение за изпиране на пари предоставя събраната информация по т. 1, 2 и 3 на 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Дирекция „Финансово разузнаване”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на ДАНС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по реда на чл.11 от ЗМИП;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>следи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за спазването на вътрешните правила и точн</w:t>
      </w:r>
      <w:r w:rsidR="000650D1">
        <w:rPr>
          <w:rFonts w:ascii="Times New Roman" w:hAnsi="Times New Roman" w:cs="Times New Roman"/>
          <w:sz w:val="24"/>
          <w:szCs w:val="24"/>
        </w:rPr>
        <w:t>ото изпълнение на инструкциите,</w:t>
      </w:r>
      <w:r w:rsidR="000650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при случаи, свързани с изпирането на пари.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Чл.26. При възникване на съмнение за изпиране на пари всеки служител в ЮЛНЦ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е 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длъжен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незабавно да уведоми председателя.</w:t>
      </w:r>
    </w:p>
    <w:p w:rsidR="009F2C7A" w:rsidRDefault="009F2C7A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9F2C7A" w:rsidRDefault="00A112A7" w:rsidP="009F2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C7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F2C7A" w:rsidRPr="009F2C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F2C7A">
        <w:rPr>
          <w:rFonts w:ascii="Times New Roman" w:hAnsi="Times New Roman" w:cs="Times New Roman"/>
          <w:b/>
          <w:sz w:val="24"/>
          <w:szCs w:val="24"/>
        </w:rPr>
        <w:t>ЧЕТВЪРТА</w:t>
      </w:r>
      <w:proofErr w:type="gramEnd"/>
    </w:p>
    <w:p w:rsidR="00A112A7" w:rsidRPr="009F2C7A" w:rsidRDefault="00A112A7" w:rsidP="009F2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C7A">
        <w:rPr>
          <w:rFonts w:ascii="Times New Roman" w:hAnsi="Times New Roman" w:cs="Times New Roman"/>
          <w:b/>
          <w:sz w:val="24"/>
          <w:szCs w:val="24"/>
        </w:rPr>
        <w:t>СЪБИРАНЕ И СЪХРАНЯВАНЕ НА ИНФОРМАЦИЯ</w:t>
      </w:r>
    </w:p>
    <w:p w:rsidR="009F2C7A" w:rsidRPr="009F2C7A" w:rsidRDefault="009F2C7A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Чл. 27. ЮЛНЦ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събира, обработва и съхранява за срок от 5 години, съгласно чл. 8 от ЗМИП, данните и документите, свързани с дарители и дарения, както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и</w:t>
      </w:r>
      <w:r w:rsidR="009F2C7A">
        <w:rPr>
          <w:rFonts w:ascii="Times New Roman" w:hAnsi="Times New Roman" w:cs="Times New Roman"/>
          <w:sz w:val="24"/>
          <w:szCs w:val="24"/>
        </w:rPr>
        <w:t xml:space="preserve"> за извършените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операции и дарения, които пораждат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съмнение, съгласно приетите критерии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2C7A">
        <w:rPr>
          <w:rFonts w:ascii="Times New Roman" w:hAnsi="Times New Roman" w:cs="Times New Roman"/>
          <w:sz w:val="24"/>
          <w:szCs w:val="24"/>
        </w:rPr>
        <w:t>за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разпознаване на съмнителни операции, дарения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DB04F7">
        <w:rPr>
          <w:rFonts w:ascii="Times New Roman" w:hAnsi="Times New Roman" w:cs="Times New Roman"/>
          <w:sz w:val="24"/>
          <w:szCs w:val="24"/>
        </w:rPr>
        <w:t xml:space="preserve">и 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дарители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в настоящите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вътрешни</w:t>
      </w:r>
      <w:r w:rsidR="009F2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правила.</w:t>
      </w:r>
    </w:p>
    <w:p w:rsidR="00A112A7" w:rsidRPr="00DB04F7" w:rsidRDefault="009F2C7A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28. </w:t>
      </w:r>
      <w:r w:rsidR="006345DD">
        <w:rPr>
          <w:rFonts w:ascii="Times New Roman" w:hAnsi="Times New Roman" w:cs="Times New Roman"/>
          <w:sz w:val="24"/>
          <w:szCs w:val="24"/>
        </w:rPr>
        <w:t>При съмнение за изпиране на пари и/или финансиране на тероризъм,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 xml:space="preserve">председателят попълва </w:t>
      </w:r>
      <w:proofErr w:type="gramStart"/>
      <w:r w:rsidR="006345DD">
        <w:rPr>
          <w:rFonts w:ascii="Times New Roman" w:hAnsi="Times New Roman" w:cs="Times New Roman"/>
          <w:sz w:val="24"/>
          <w:szCs w:val="24"/>
        </w:rPr>
        <w:t xml:space="preserve">информацията 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6345DD">
        <w:rPr>
          <w:rFonts w:ascii="Times New Roman" w:hAnsi="Times New Roman" w:cs="Times New Roman"/>
          <w:sz w:val="24"/>
          <w:szCs w:val="24"/>
        </w:rPr>
        <w:t>ален прошнурован, прономерован,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>заверен с подписа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>на председателя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 xml:space="preserve">и 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 xml:space="preserve">подпечатан с печата на 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>ЮЛНЦ</w:t>
      </w:r>
      <w:r w:rsidR="00634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5DD">
        <w:rPr>
          <w:rFonts w:ascii="Times New Roman" w:hAnsi="Times New Roman" w:cs="Times New Roman"/>
          <w:sz w:val="24"/>
          <w:szCs w:val="24"/>
        </w:rPr>
        <w:t>дневник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6345DD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29</w:t>
      </w:r>
      <w:r w:rsidR="00A112A7" w:rsidRPr="00DB04F7">
        <w:rPr>
          <w:rFonts w:ascii="Times New Roman" w:hAnsi="Times New Roman" w:cs="Times New Roman"/>
          <w:sz w:val="24"/>
          <w:szCs w:val="24"/>
        </w:rPr>
        <w:t>. След завеждането на формуляра в дн</w:t>
      </w:r>
      <w:r>
        <w:rPr>
          <w:rFonts w:ascii="Times New Roman" w:hAnsi="Times New Roman" w:cs="Times New Roman"/>
          <w:sz w:val="24"/>
          <w:szCs w:val="24"/>
        </w:rPr>
        <w:t>евника, за всеки отделен случай, дарение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дарител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се откр</w:t>
      </w:r>
      <w:r>
        <w:rPr>
          <w:rFonts w:ascii="Times New Roman" w:hAnsi="Times New Roman" w:cs="Times New Roman"/>
          <w:sz w:val="24"/>
          <w:szCs w:val="24"/>
        </w:rPr>
        <w:t>ива дело, в което по реда на постъпването се класират всички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документи. </w:t>
      </w:r>
    </w:p>
    <w:p w:rsidR="00A112A7" w:rsidRPr="00DB04F7" w:rsidRDefault="006345DD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30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Постъпилата информация със съмнение за изпиране на пари се съхранява на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оригинални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хартиени носители за срок, определен от закон.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31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Всички данни се съхраняват в архива на </w:t>
      </w:r>
    </w:p>
    <w:p w:rsidR="00A112A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ЮЛНЦ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720A74" w:rsidRPr="00720A74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486675" w:rsidRDefault="00720A74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67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866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112A7" w:rsidRPr="00486675">
        <w:rPr>
          <w:rFonts w:ascii="Times New Roman" w:hAnsi="Times New Roman" w:cs="Times New Roman"/>
          <w:b/>
          <w:sz w:val="24"/>
          <w:szCs w:val="24"/>
        </w:rPr>
        <w:t>ПЕТА</w:t>
      </w:r>
      <w:proofErr w:type="gramEnd"/>
    </w:p>
    <w:p w:rsidR="00A112A7" w:rsidRPr="00486675" w:rsidRDefault="00720A74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РАЗКРИВАНЕ НА ИНФОРМАЦИЯ</w:t>
      </w:r>
      <w:r w:rsidRPr="004866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6675">
        <w:rPr>
          <w:rFonts w:ascii="Times New Roman" w:hAnsi="Times New Roman" w:cs="Times New Roman"/>
          <w:b/>
          <w:sz w:val="24"/>
          <w:szCs w:val="24"/>
        </w:rPr>
        <w:t>И ВЗАИМОДЕЙСТВИЕ</w:t>
      </w:r>
      <w:r w:rsidRPr="004866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6675">
        <w:rPr>
          <w:rFonts w:ascii="Times New Roman" w:hAnsi="Times New Roman" w:cs="Times New Roman"/>
          <w:b/>
          <w:sz w:val="24"/>
          <w:szCs w:val="24"/>
        </w:rPr>
        <w:t>С ДИРЕКЦИЯ</w:t>
      </w:r>
      <w:r w:rsidRPr="004866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6675">
        <w:rPr>
          <w:rFonts w:ascii="Times New Roman" w:hAnsi="Times New Roman" w:cs="Times New Roman"/>
          <w:b/>
          <w:sz w:val="24"/>
          <w:szCs w:val="24"/>
        </w:rPr>
        <w:t>„ФИНАНСОВО РАЗУЗНАВАНЕ”</w:t>
      </w:r>
      <w:r w:rsidRPr="004866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6675">
        <w:rPr>
          <w:rFonts w:ascii="Times New Roman" w:hAnsi="Times New Roman" w:cs="Times New Roman"/>
          <w:b/>
          <w:sz w:val="24"/>
          <w:szCs w:val="24"/>
        </w:rPr>
        <w:t>НА</w:t>
      </w:r>
      <w:r w:rsidRPr="004866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6675">
        <w:rPr>
          <w:rFonts w:ascii="Times New Roman" w:hAnsi="Times New Roman" w:cs="Times New Roman"/>
          <w:b/>
          <w:sz w:val="24"/>
          <w:szCs w:val="24"/>
        </w:rPr>
        <w:t>Д</w:t>
      </w:r>
      <w:r w:rsidR="00A112A7" w:rsidRPr="00486675">
        <w:rPr>
          <w:rFonts w:ascii="Times New Roman" w:hAnsi="Times New Roman" w:cs="Times New Roman"/>
          <w:b/>
          <w:sz w:val="24"/>
          <w:szCs w:val="24"/>
        </w:rPr>
        <w:t>ЪРЖАВНА АГЕНЦИЯ „НАЦИОНАЛНА СИГУРНОСТ”</w:t>
      </w:r>
    </w:p>
    <w:p w:rsidR="00720A74" w:rsidRPr="00720A74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32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При възникване </w:t>
      </w:r>
      <w:r>
        <w:rPr>
          <w:rFonts w:ascii="Times New Roman" w:hAnsi="Times New Roman" w:cs="Times New Roman"/>
          <w:sz w:val="24"/>
          <w:szCs w:val="24"/>
        </w:rPr>
        <w:t>на съмнение за изпиране на пари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и/или финансиране на тероризъм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председателят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незабавно уведомява Дирекция „Финан</w:t>
      </w:r>
      <w:r>
        <w:rPr>
          <w:rFonts w:ascii="Times New Roman" w:hAnsi="Times New Roman" w:cs="Times New Roman"/>
          <w:sz w:val="24"/>
          <w:szCs w:val="24"/>
        </w:rPr>
        <w:t xml:space="preserve">сово </w:t>
      </w:r>
      <w:r>
        <w:rPr>
          <w:rFonts w:ascii="Times New Roman" w:hAnsi="Times New Roman" w:cs="Times New Roman"/>
          <w:sz w:val="24"/>
          <w:szCs w:val="24"/>
        </w:rPr>
        <w:lastRenderedPageBreak/>
        <w:t>разузнаване”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ДАНС, </w:t>
      </w:r>
      <w:r w:rsidR="00A112A7" w:rsidRPr="00DB04F7">
        <w:rPr>
          <w:rFonts w:ascii="Times New Roman" w:hAnsi="Times New Roman" w:cs="Times New Roman"/>
          <w:sz w:val="24"/>
          <w:szCs w:val="24"/>
        </w:rPr>
        <w:t>като предава събраната информация за участващите лица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самата операция или сделка, по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възможност преди извършването им. 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33.Задължението по чл.32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възниква и в с</w:t>
      </w:r>
      <w:r>
        <w:rPr>
          <w:rFonts w:ascii="Times New Roman" w:hAnsi="Times New Roman" w:cs="Times New Roman"/>
          <w:sz w:val="24"/>
          <w:szCs w:val="24"/>
        </w:rPr>
        <w:t>лучаите, когато операцията или дарението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са били довърше</w:t>
      </w:r>
      <w:r w:rsidR="00A112A7" w:rsidRPr="00DB04F7">
        <w:rPr>
          <w:rFonts w:ascii="Times New Roman" w:hAnsi="Times New Roman" w:cs="Times New Roman"/>
          <w:sz w:val="24"/>
          <w:szCs w:val="24"/>
        </w:rPr>
        <w:t>ни.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34. Председателя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т забавя </w:t>
      </w:r>
      <w:r>
        <w:rPr>
          <w:rFonts w:ascii="Times New Roman" w:hAnsi="Times New Roman" w:cs="Times New Roman"/>
          <w:sz w:val="24"/>
          <w:szCs w:val="24"/>
        </w:rPr>
        <w:t xml:space="preserve">изпълнението на операцията или </w:t>
      </w:r>
      <w:r w:rsidR="00A112A7" w:rsidRPr="00DB04F7">
        <w:rPr>
          <w:rFonts w:ascii="Times New Roman" w:hAnsi="Times New Roman" w:cs="Times New Roman"/>
          <w:sz w:val="24"/>
          <w:szCs w:val="24"/>
        </w:rPr>
        <w:t>дарени</w:t>
      </w:r>
      <w:r>
        <w:rPr>
          <w:rFonts w:ascii="Times New Roman" w:hAnsi="Times New Roman" w:cs="Times New Roman"/>
          <w:sz w:val="24"/>
          <w:szCs w:val="24"/>
        </w:rPr>
        <w:t>ето,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породили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съмнение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изпиране на пари и/</w:t>
      </w:r>
      <w:r w:rsidR="00A112A7" w:rsidRPr="00DB04F7">
        <w:rPr>
          <w:rFonts w:ascii="Times New Roman" w:hAnsi="Times New Roman" w:cs="Times New Roman"/>
          <w:sz w:val="24"/>
          <w:szCs w:val="24"/>
        </w:rPr>
        <w:t>или финансира</w:t>
      </w:r>
      <w:r>
        <w:rPr>
          <w:rFonts w:ascii="Times New Roman" w:hAnsi="Times New Roman" w:cs="Times New Roman"/>
          <w:sz w:val="24"/>
          <w:szCs w:val="24"/>
        </w:rPr>
        <w:t>не на тероризъм, ако практиката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позволява това, </w:t>
      </w:r>
      <w:r w:rsidR="00A112A7" w:rsidRPr="00DB04F7">
        <w:rPr>
          <w:rFonts w:ascii="Times New Roman" w:hAnsi="Times New Roman" w:cs="Times New Roman"/>
          <w:sz w:val="24"/>
          <w:szCs w:val="24"/>
        </w:rPr>
        <w:t>за което уведомява Д</w:t>
      </w:r>
      <w:r>
        <w:rPr>
          <w:rFonts w:ascii="Times New Roman" w:hAnsi="Times New Roman" w:cs="Times New Roman"/>
          <w:sz w:val="24"/>
          <w:szCs w:val="24"/>
        </w:rPr>
        <w:t>ирекция „Финансово разузнаване”на ДАНС.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случай, че забавянето на </w:t>
      </w:r>
      <w:r w:rsidR="00A112A7" w:rsidRPr="00DB04F7">
        <w:rPr>
          <w:rFonts w:ascii="Times New Roman" w:hAnsi="Times New Roman" w:cs="Times New Roman"/>
          <w:sz w:val="24"/>
          <w:szCs w:val="24"/>
        </w:rPr>
        <w:t>операцията или сделката е невъзможно, или може да попреч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разкриване на изпирането на пари, председателят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уведомява Дирекция „Финансово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разузнаване” на ДАНС незабавно след извършване на операцията или дарението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35. Уведомлението до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Дирекция „Финансово разузнаване”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предходните членове се извъ</w:t>
      </w:r>
      <w:r>
        <w:rPr>
          <w:rFonts w:ascii="Times New Roman" w:hAnsi="Times New Roman" w:cs="Times New Roman"/>
          <w:sz w:val="24"/>
          <w:szCs w:val="24"/>
        </w:rPr>
        <w:t>ршва в писмена форма по образец, утвърден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директора на дирекцията. Към </w:t>
      </w:r>
      <w:r w:rsidR="00A112A7" w:rsidRPr="00DB04F7">
        <w:rPr>
          <w:rFonts w:ascii="Times New Roman" w:hAnsi="Times New Roman" w:cs="Times New Roman"/>
          <w:sz w:val="24"/>
          <w:szCs w:val="24"/>
        </w:rPr>
        <w:t>уведомлението се прилагат сл</w:t>
      </w:r>
      <w:r>
        <w:rPr>
          <w:rFonts w:ascii="Times New Roman" w:hAnsi="Times New Roman" w:cs="Times New Roman"/>
          <w:sz w:val="24"/>
          <w:szCs w:val="24"/>
        </w:rPr>
        <w:t>ужебно заверени копия на всички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събрани документи за </w:t>
      </w:r>
      <w:r w:rsidR="00A112A7" w:rsidRPr="00DB04F7">
        <w:rPr>
          <w:rFonts w:ascii="Times New Roman" w:hAnsi="Times New Roman" w:cs="Times New Roman"/>
          <w:sz w:val="24"/>
          <w:szCs w:val="24"/>
        </w:rPr>
        <w:t>опе</w:t>
      </w:r>
      <w:r>
        <w:rPr>
          <w:rFonts w:ascii="Times New Roman" w:hAnsi="Times New Roman" w:cs="Times New Roman"/>
          <w:sz w:val="24"/>
          <w:szCs w:val="24"/>
        </w:rPr>
        <w:t>рацията или сделката и идентифицирането на дарител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ите. 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36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В неотложни случаи уведомлението може да се извърши и в устна форма с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последващо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писмено потвърждение, по реда н</w:t>
      </w:r>
      <w:r w:rsidR="00720A74">
        <w:rPr>
          <w:rFonts w:ascii="Times New Roman" w:hAnsi="Times New Roman" w:cs="Times New Roman"/>
          <w:sz w:val="24"/>
          <w:szCs w:val="24"/>
        </w:rPr>
        <w:t>а предходните членове и в срок до</w:t>
      </w:r>
      <w:r w:rsidR="00720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24 часа.</w:t>
      </w:r>
    </w:p>
    <w:p w:rsidR="00A112A7" w:rsidRPr="00DB04F7" w:rsidRDefault="00720A74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37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(1) В </w:t>
      </w:r>
      <w:r>
        <w:rPr>
          <w:rFonts w:ascii="Times New Roman" w:hAnsi="Times New Roman" w:cs="Times New Roman"/>
          <w:sz w:val="24"/>
          <w:szCs w:val="24"/>
        </w:rPr>
        <w:t>съответствие с чл. 11а от ЗМИП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уведомява Дирекция „Финансово разузнаване” </w:t>
      </w:r>
      <w:r w:rsidR="00A112A7" w:rsidRPr="00DB04F7">
        <w:rPr>
          <w:rFonts w:ascii="Times New Roman" w:hAnsi="Times New Roman" w:cs="Times New Roman"/>
          <w:sz w:val="24"/>
          <w:szCs w:val="24"/>
        </w:rPr>
        <w:t>на ДАН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112A7" w:rsidRPr="00DB04F7">
        <w:rPr>
          <w:rFonts w:ascii="Times New Roman" w:hAnsi="Times New Roman" w:cs="Times New Roman"/>
          <w:sz w:val="24"/>
          <w:szCs w:val="24"/>
        </w:rPr>
        <w:t>за всяко пл</w:t>
      </w:r>
      <w:r>
        <w:rPr>
          <w:rFonts w:ascii="Times New Roman" w:hAnsi="Times New Roman" w:cs="Times New Roman"/>
          <w:sz w:val="24"/>
          <w:szCs w:val="24"/>
        </w:rPr>
        <w:t>ащане в брой на стойност над 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лв. </w:t>
      </w:r>
      <w:proofErr w:type="gramStart"/>
      <w:r w:rsidR="00A112A7" w:rsidRPr="00DB04F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тяхната </w:t>
      </w:r>
    </w:p>
    <w:p w:rsidR="00A112A7" w:rsidRPr="00DB04F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4F7">
        <w:rPr>
          <w:rFonts w:ascii="Times New Roman" w:hAnsi="Times New Roman" w:cs="Times New Roman"/>
          <w:sz w:val="24"/>
          <w:szCs w:val="24"/>
        </w:rPr>
        <w:t>равностойност</w:t>
      </w:r>
      <w:proofErr w:type="gramEnd"/>
      <w:r w:rsidRPr="00DB04F7">
        <w:rPr>
          <w:rFonts w:ascii="Times New Roman" w:hAnsi="Times New Roman" w:cs="Times New Roman"/>
          <w:sz w:val="24"/>
          <w:szCs w:val="24"/>
        </w:rPr>
        <w:t xml:space="preserve"> в чужда ва</w:t>
      </w:r>
      <w:r w:rsidR="00720A74">
        <w:rPr>
          <w:rFonts w:ascii="Times New Roman" w:hAnsi="Times New Roman" w:cs="Times New Roman"/>
          <w:sz w:val="24"/>
          <w:szCs w:val="24"/>
        </w:rPr>
        <w:t>лута, извършено от или на неин дарител,в сроковете и по реда, определени от ППЗМИП. Информацията по ал.1 се изготвя и изпраща на Д</w:t>
      </w:r>
      <w:r w:rsidRPr="00DB04F7">
        <w:rPr>
          <w:rFonts w:ascii="Times New Roman" w:hAnsi="Times New Roman" w:cs="Times New Roman"/>
          <w:sz w:val="24"/>
          <w:szCs w:val="24"/>
        </w:rPr>
        <w:t>ирекция „Финансово разузнав</w:t>
      </w:r>
      <w:r w:rsidR="00720A74">
        <w:rPr>
          <w:rFonts w:ascii="Times New Roman" w:hAnsi="Times New Roman" w:cs="Times New Roman"/>
          <w:sz w:val="24"/>
          <w:szCs w:val="24"/>
        </w:rPr>
        <w:t>ане”</w:t>
      </w:r>
      <w:r w:rsidR="00720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A74">
        <w:rPr>
          <w:rFonts w:ascii="Times New Roman" w:hAnsi="Times New Roman" w:cs="Times New Roman"/>
          <w:sz w:val="24"/>
          <w:szCs w:val="24"/>
        </w:rPr>
        <w:t>на ДАНС</w:t>
      </w:r>
      <w:r w:rsidR="00720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A74">
        <w:rPr>
          <w:rFonts w:ascii="Times New Roman" w:hAnsi="Times New Roman" w:cs="Times New Roman"/>
          <w:sz w:val="24"/>
          <w:szCs w:val="24"/>
        </w:rPr>
        <w:t>на месечна база до 15-то число на</w:t>
      </w:r>
      <w:r w:rsidRPr="00DB04F7">
        <w:rPr>
          <w:rFonts w:ascii="Times New Roman" w:hAnsi="Times New Roman" w:cs="Times New Roman"/>
          <w:sz w:val="24"/>
          <w:szCs w:val="24"/>
        </w:rPr>
        <w:t xml:space="preserve">месеца, следващ месеца, </w:t>
      </w:r>
      <w:r w:rsidR="00720A74">
        <w:rPr>
          <w:rFonts w:ascii="Times New Roman" w:hAnsi="Times New Roman" w:cs="Times New Roman"/>
          <w:sz w:val="24"/>
          <w:szCs w:val="24"/>
        </w:rPr>
        <w:t>за който се отнася информацията,</w:t>
      </w:r>
      <w:r w:rsidR="00720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A74">
        <w:rPr>
          <w:rFonts w:ascii="Times New Roman" w:hAnsi="Times New Roman" w:cs="Times New Roman"/>
          <w:sz w:val="24"/>
          <w:szCs w:val="24"/>
        </w:rPr>
        <w:t>на хартиен носител по образец,</w:t>
      </w:r>
      <w:r w:rsidR="00720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720A74">
        <w:rPr>
          <w:rFonts w:ascii="Times New Roman" w:hAnsi="Times New Roman" w:cs="Times New Roman"/>
          <w:sz w:val="24"/>
          <w:szCs w:val="24"/>
        </w:rPr>
        <w:t>Приложение No 3 към чл. 16, ал.</w:t>
      </w:r>
      <w:r w:rsidR="00720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4F7">
        <w:rPr>
          <w:rFonts w:ascii="Times New Roman" w:hAnsi="Times New Roman" w:cs="Times New Roman"/>
          <w:sz w:val="24"/>
          <w:szCs w:val="24"/>
        </w:rPr>
        <w:t>1 от ППЗМИП.</w:t>
      </w:r>
    </w:p>
    <w:p w:rsidR="00A112A7" w:rsidRPr="00DB04F7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39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възникване на съмнение за ф</w:t>
      </w:r>
      <w:r w:rsidR="00A112A7" w:rsidRPr="00DB04F7">
        <w:rPr>
          <w:rFonts w:ascii="Times New Roman" w:hAnsi="Times New Roman" w:cs="Times New Roman"/>
          <w:sz w:val="24"/>
          <w:szCs w:val="24"/>
        </w:rPr>
        <w:t>инансиране на терори</w:t>
      </w:r>
      <w:r>
        <w:rPr>
          <w:rFonts w:ascii="Times New Roman" w:hAnsi="Times New Roman" w:cs="Times New Roman"/>
          <w:sz w:val="24"/>
          <w:szCs w:val="24"/>
        </w:rPr>
        <w:t>зъм, председателят на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уведомява Дирекция „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Финансово разузнаване”. </w:t>
      </w:r>
    </w:p>
    <w:p w:rsidR="00A112A7" w:rsidRPr="00DB04F7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Чл.40</w:t>
      </w:r>
      <w:r w:rsidR="00A112A7" w:rsidRPr="00DB04F7">
        <w:rPr>
          <w:rFonts w:ascii="Times New Roman" w:hAnsi="Times New Roman" w:cs="Times New Roman"/>
          <w:sz w:val="24"/>
          <w:szCs w:val="24"/>
        </w:rPr>
        <w:t>. Независимо от пре</w:t>
      </w:r>
      <w:r>
        <w:rPr>
          <w:rFonts w:ascii="Times New Roman" w:hAnsi="Times New Roman" w:cs="Times New Roman"/>
          <w:sz w:val="24"/>
          <w:szCs w:val="24"/>
        </w:rPr>
        <w:t>дприетите мерки, служителите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трябва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никакъв начин да уведомяват дарителя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трети лица, относно мерките, предприети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съмн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ението </w:t>
      </w:r>
      <w:r>
        <w:rPr>
          <w:rFonts w:ascii="Times New Roman" w:hAnsi="Times New Roman" w:cs="Times New Roman"/>
          <w:sz w:val="24"/>
          <w:szCs w:val="24"/>
        </w:rPr>
        <w:t>за изпиране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на пари и/или финансиране на тероризъм. </w:t>
      </w:r>
    </w:p>
    <w:p w:rsidR="00904DCF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486675" w:rsidRDefault="00904DCF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112A7" w:rsidRPr="00486675">
        <w:rPr>
          <w:rFonts w:ascii="Times New Roman" w:hAnsi="Times New Roman" w:cs="Times New Roman"/>
          <w:b/>
          <w:sz w:val="24"/>
          <w:szCs w:val="24"/>
        </w:rPr>
        <w:t>ШЕСТА</w:t>
      </w:r>
    </w:p>
    <w:p w:rsidR="00A112A7" w:rsidRPr="00486675" w:rsidRDefault="00A112A7" w:rsidP="0048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75">
        <w:rPr>
          <w:rFonts w:ascii="Times New Roman" w:hAnsi="Times New Roman" w:cs="Times New Roman"/>
          <w:b/>
          <w:sz w:val="24"/>
          <w:szCs w:val="24"/>
        </w:rPr>
        <w:t>ОБУЧЕНИЕ НА ПЕРСОНАЛА</w:t>
      </w:r>
    </w:p>
    <w:p w:rsidR="00904DCF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12A7" w:rsidRPr="00DB04F7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41.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организира обучението на служите</w:t>
      </w:r>
      <w:r>
        <w:rPr>
          <w:rFonts w:ascii="Times New Roman" w:hAnsi="Times New Roman" w:cs="Times New Roman"/>
          <w:sz w:val="24"/>
          <w:szCs w:val="24"/>
        </w:rPr>
        <w:t>лите, които имат задължения по идентифициране на дарител</w:t>
      </w:r>
      <w:r w:rsidR="00A112A7" w:rsidRPr="00DB04F7">
        <w:rPr>
          <w:rFonts w:ascii="Times New Roman" w:hAnsi="Times New Roman" w:cs="Times New Roman"/>
          <w:sz w:val="24"/>
          <w:szCs w:val="24"/>
        </w:rPr>
        <w:t>ите и събиране, съхраня</w:t>
      </w:r>
      <w:r>
        <w:rPr>
          <w:rFonts w:ascii="Times New Roman" w:hAnsi="Times New Roman" w:cs="Times New Roman"/>
          <w:sz w:val="24"/>
          <w:szCs w:val="24"/>
        </w:rPr>
        <w:t>ване и разкриване на информация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предотвратяване на случаите на изпиране на пари и финансиране на тероризъм.</w:t>
      </w:r>
    </w:p>
    <w:p w:rsidR="00A112A7" w:rsidRPr="00DB04F7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42. Председателят/</w:t>
      </w:r>
      <w:r w:rsidR="00A112A7" w:rsidRPr="00DB04F7">
        <w:rPr>
          <w:rFonts w:ascii="Times New Roman" w:hAnsi="Times New Roman" w:cs="Times New Roman"/>
          <w:sz w:val="24"/>
          <w:szCs w:val="24"/>
        </w:rPr>
        <w:t>Отговорникът за прилагане на</w:t>
      </w:r>
      <w:r>
        <w:rPr>
          <w:rFonts w:ascii="Times New Roman" w:hAnsi="Times New Roman" w:cs="Times New Roman"/>
          <w:sz w:val="24"/>
          <w:szCs w:val="24"/>
        </w:rPr>
        <w:t xml:space="preserve"> мерките срещу изпиране на пари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провежда най-</w:t>
      </w:r>
      <w:r w:rsidR="00A112A7" w:rsidRPr="00DB04F7">
        <w:rPr>
          <w:rFonts w:ascii="Times New Roman" w:hAnsi="Times New Roman" w:cs="Times New Roman"/>
          <w:sz w:val="24"/>
          <w:szCs w:val="24"/>
        </w:rPr>
        <w:t>малко веднъж годишно ку</w:t>
      </w:r>
      <w:r>
        <w:rPr>
          <w:rFonts w:ascii="Times New Roman" w:hAnsi="Times New Roman" w:cs="Times New Roman"/>
          <w:sz w:val="24"/>
          <w:szCs w:val="24"/>
        </w:rPr>
        <w:t>рс на обучение на служителите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ЮЛНЦ, в който ги </w:t>
      </w:r>
      <w:r w:rsidR="00A112A7" w:rsidRPr="00DB04F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познава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разпоредбите на Закона за мерките срещу изп</w:t>
      </w:r>
      <w:r>
        <w:rPr>
          <w:rFonts w:ascii="Times New Roman" w:hAnsi="Times New Roman" w:cs="Times New Roman"/>
          <w:sz w:val="24"/>
          <w:szCs w:val="24"/>
        </w:rPr>
        <w:t xml:space="preserve">ирането на пари, Правилника за </w:t>
      </w:r>
      <w:r w:rsidR="00A112A7" w:rsidRPr="00DB04F7">
        <w:rPr>
          <w:rFonts w:ascii="Times New Roman" w:hAnsi="Times New Roman" w:cs="Times New Roman"/>
          <w:sz w:val="24"/>
          <w:szCs w:val="24"/>
        </w:rPr>
        <w:t>неговото прилагане, Закона за</w:t>
      </w:r>
      <w:r>
        <w:rPr>
          <w:rFonts w:ascii="Times New Roman" w:hAnsi="Times New Roman" w:cs="Times New Roman"/>
          <w:sz w:val="24"/>
          <w:szCs w:val="24"/>
        </w:rPr>
        <w:t xml:space="preserve"> мерките срещу финансирането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тероризма, както и с </w:t>
      </w:r>
      <w:r w:rsidR="00A112A7" w:rsidRPr="00DB04F7">
        <w:rPr>
          <w:rFonts w:ascii="Times New Roman" w:hAnsi="Times New Roman" w:cs="Times New Roman"/>
          <w:sz w:val="24"/>
          <w:szCs w:val="24"/>
        </w:rPr>
        <w:t>изи</w:t>
      </w:r>
      <w:r>
        <w:rPr>
          <w:rFonts w:ascii="Times New Roman" w:hAnsi="Times New Roman" w:cs="Times New Roman"/>
          <w:sz w:val="24"/>
          <w:szCs w:val="24"/>
        </w:rPr>
        <w:t>скванията на настоящите Правила</w:t>
      </w:r>
      <w:r w:rsidR="00A112A7" w:rsidRPr="00DB04F7">
        <w:rPr>
          <w:rFonts w:ascii="Times New Roman" w:hAnsi="Times New Roman" w:cs="Times New Roman"/>
          <w:sz w:val="24"/>
          <w:szCs w:val="24"/>
        </w:rPr>
        <w:t>.</w:t>
      </w:r>
    </w:p>
    <w:p w:rsidR="00A112A7" w:rsidRPr="00904DCF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Чл. 43</w:t>
      </w:r>
      <w:r w:rsidR="00A112A7" w:rsidRPr="00DB04F7">
        <w:rPr>
          <w:rFonts w:ascii="Times New Roman" w:hAnsi="Times New Roman" w:cs="Times New Roman"/>
          <w:sz w:val="24"/>
          <w:szCs w:val="24"/>
        </w:rPr>
        <w:t>. Задълженията по предходните членове следв</w:t>
      </w:r>
      <w:r>
        <w:rPr>
          <w:rFonts w:ascii="Times New Roman" w:hAnsi="Times New Roman" w:cs="Times New Roman"/>
          <w:sz w:val="24"/>
          <w:szCs w:val="24"/>
        </w:rPr>
        <w:t xml:space="preserve">а да се прилагат и по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всички</w:t>
      </w:r>
      <w:proofErr w:type="gramEnd"/>
      <w:r w:rsidR="00A112A7" w:rsidRPr="00DB04F7">
        <w:rPr>
          <w:rFonts w:ascii="Times New Roman" w:hAnsi="Times New Roman" w:cs="Times New Roman"/>
          <w:sz w:val="24"/>
          <w:szCs w:val="24"/>
        </w:rPr>
        <w:t xml:space="preserve"> новопостъпили на работа служители сл</w:t>
      </w:r>
      <w:r>
        <w:rPr>
          <w:rFonts w:ascii="Times New Roman" w:hAnsi="Times New Roman" w:cs="Times New Roman"/>
          <w:sz w:val="24"/>
          <w:szCs w:val="24"/>
        </w:rPr>
        <w:t>ед приемането на тези правила. С</w:t>
      </w:r>
      <w:r w:rsidR="00A112A7" w:rsidRPr="00DB04F7">
        <w:rPr>
          <w:rFonts w:ascii="Times New Roman" w:hAnsi="Times New Roman" w:cs="Times New Roman"/>
          <w:sz w:val="24"/>
          <w:szCs w:val="24"/>
        </w:rPr>
        <w:t>лужителите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попълват писмени декларации, че са запознати със ЗМИП, ППЗМИП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ЗМФТ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Вътрешните </w:t>
      </w:r>
      <w:r w:rsidR="00A112A7" w:rsidRPr="00DB04F7">
        <w:rPr>
          <w:rFonts w:ascii="Times New Roman" w:hAnsi="Times New Roman" w:cs="Times New Roman"/>
          <w:sz w:val="24"/>
          <w:szCs w:val="24"/>
        </w:rPr>
        <w:t>правила за контрол и предотвратяване изпирането</w:t>
      </w:r>
      <w:r>
        <w:rPr>
          <w:rFonts w:ascii="Times New Roman" w:hAnsi="Times New Roman" w:cs="Times New Roman"/>
          <w:sz w:val="24"/>
          <w:szCs w:val="24"/>
        </w:rPr>
        <w:t xml:space="preserve"> на пари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и финансиране на тероризъм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и се задължават да</w:t>
      </w:r>
      <w:r>
        <w:rPr>
          <w:rFonts w:ascii="Times New Roman" w:hAnsi="Times New Roman" w:cs="Times New Roman"/>
          <w:sz w:val="24"/>
          <w:szCs w:val="24"/>
        </w:rPr>
        <w:t xml:space="preserve"> ги спазват при изпълнението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>задължения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12A7" w:rsidRPr="00DB04F7">
        <w:rPr>
          <w:rFonts w:ascii="Times New Roman" w:hAnsi="Times New Roman" w:cs="Times New Roman"/>
          <w:sz w:val="24"/>
          <w:szCs w:val="24"/>
        </w:rPr>
        <w:t xml:space="preserve">си. </w:t>
      </w:r>
    </w:p>
    <w:p w:rsidR="00A112A7" w:rsidRDefault="00A112A7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Настоящите Вътрешни правила за контрол и предотвратяване из</w:t>
      </w:r>
      <w:r w:rsidR="00904DCF">
        <w:rPr>
          <w:rFonts w:ascii="Times New Roman" w:hAnsi="Times New Roman" w:cs="Times New Roman"/>
          <w:sz w:val="24"/>
          <w:szCs w:val="24"/>
        </w:rPr>
        <w:t xml:space="preserve">пирането на пари и финансиране на тероризъм са приети от </w:t>
      </w:r>
      <w:r w:rsidR="00904DCF">
        <w:rPr>
          <w:rFonts w:ascii="Times New Roman" w:hAnsi="Times New Roman" w:cs="Times New Roman"/>
          <w:sz w:val="24"/>
          <w:szCs w:val="24"/>
          <w:lang w:val="bg-BG"/>
        </w:rPr>
        <w:t xml:space="preserve">Управителния съвет на Фондация „Институт за здравно образование“ </w:t>
      </w:r>
      <w:r w:rsidR="00904DCF">
        <w:rPr>
          <w:rFonts w:ascii="Times New Roman" w:hAnsi="Times New Roman" w:cs="Times New Roman"/>
          <w:sz w:val="24"/>
          <w:szCs w:val="24"/>
        </w:rPr>
        <w:t>с Протокол от з</w:t>
      </w:r>
      <w:r w:rsidRPr="00DB04F7">
        <w:rPr>
          <w:rFonts w:ascii="Times New Roman" w:hAnsi="Times New Roman" w:cs="Times New Roman"/>
          <w:sz w:val="24"/>
          <w:szCs w:val="24"/>
        </w:rPr>
        <w:t xml:space="preserve">аседание, проведено на </w:t>
      </w:r>
      <w:r w:rsidR="00F37531">
        <w:rPr>
          <w:rFonts w:ascii="Times New Roman" w:hAnsi="Times New Roman" w:cs="Times New Roman"/>
          <w:sz w:val="24"/>
          <w:szCs w:val="24"/>
          <w:lang w:val="bg-BG"/>
        </w:rPr>
        <w:t>29 октомври 2019</w:t>
      </w:r>
      <w:r w:rsidR="00904DC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DB04F7">
        <w:rPr>
          <w:rFonts w:ascii="Times New Roman" w:hAnsi="Times New Roman" w:cs="Times New Roman"/>
          <w:sz w:val="24"/>
          <w:szCs w:val="24"/>
        </w:rPr>
        <w:t xml:space="preserve"> и влизат в си</w:t>
      </w:r>
      <w:r w:rsidR="00904DCF">
        <w:rPr>
          <w:rFonts w:ascii="Times New Roman" w:hAnsi="Times New Roman" w:cs="Times New Roman"/>
          <w:sz w:val="24"/>
          <w:szCs w:val="24"/>
        </w:rPr>
        <w:t>ла след утвърждаването им</w:t>
      </w:r>
      <w:r w:rsidR="00904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4DCF">
        <w:rPr>
          <w:rFonts w:ascii="Times New Roman" w:hAnsi="Times New Roman" w:cs="Times New Roman"/>
          <w:sz w:val="24"/>
          <w:szCs w:val="24"/>
        </w:rPr>
        <w:t>от Председателя на ДАНС</w:t>
      </w:r>
      <w:r w:rsidR="00904D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4DCF">
        <w:rPr>
          <w:rFonts w:ascii="Times New Roman" w:hAnsi="Times New Roman" w:cs="Times New Roman"/>
          <w:sz w:val="24"/>
          <w:szCs w:val="24"/>
        </w:rPr>
        <w:t>или управомощено от него лице</w:t>
      </w:r>
      <w:r w:rsidRPr="00DB04F7">
        <w:rPr>
          <w:rFonts w:ascii="Times New Roman" w:hAnsi="Times New Roman" w:cs="Times New Roman"/>
          <w:sz w:val="24"/>
          <w:szCs w:val="24"/>
        </w:rPr>
        <w:t>.</w:t>
      </w:r>
    </w:p>
    <w:p w:rsidR="0043191A" w:rsidRDefault="0043191A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1A" w:rsidRPr="0043191A" w:rsidRDefault="0043191A" w:rsidP="0043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91A">
        <w:rPr>
          <w:rFonts w:ascii="Times New Roman" w:hAnsi="Times New Roman" w:cs="Times New Roman"/>
          <w:b/>
          <w:sz w:val="24"/>
          <w:szCs w:val="24"/>
          <w:lang w:val="bg-BG"/>
        </w:rPr>
        <w:t>ОЦЕНКА НА РИСКА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3191A">
        <w:rPr>
          <w:rFonts w:ascii="Times New Roman" w:hAnsi="Times New Roman" w:cs="Times New Roman"/>
          <w:b/>
          <w:sz w:val="24"/>
          <w:szCs w:val="24"/>
        </w:rPr>
        <w:t>по реда на чл. 98, ал. 4 и 5 от ЗМИП</w:t>
      </w:r>
    </w:p>
    <w:p w:rsidR="00904DCF" w:rsidRDefault="00904DCF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3191A" w:rsidRDefault="0043191A" w:rsidP="0043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1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43191A">
        <w:rPr>
          <w:rFonts w:ascii="Times New Roman" w:hAnsi="Times New Roman" w:cs="Times New Roman"/>
          <w:sz w:val="24"/>
          <w:szCs w:val="24"/>
        </w:rPr>
        <w:t xml:space="preserve">на организационната структура на ЮЛНЦ, в частност на собствеността и управлението на ЮЛНЦ и предмета му на дейност: ЮЛНЦ има общо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Pr="0043191A">
        <w:rPr>
          <w:rFonts w:ascii="Times New Roman" w:hAnsi="Times New Roman" w:cs="Times New Roman"/>
          <w:sz w:val="24"/>
          <w:szCs w:val="24"/>
        </w:rPr>
        <w:t>членове/членове на</w:t>
      </w:r>
      <w:r>
        <w:rPr>
          <w:rFonts w:ascii="Times New Roman" w:hAnsi="Times New Roman" w:cs="Times New Roman"/>
          <w:sz w:val="24"/>
          <w:szCs w:val="24"/>
        </w:rPr>
        <w:t xml:space="preserve"> своите органи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- .....български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3191A">
        <w:rPr>
          <w:rFonts w:ascii="Times New Roman" w:hAnsi="Times New Roman" w:cs="Times New Roman"/>
          <w:sz w:val="24"/>
          <w:szCs w:val="24"/>
        </w:rPr>
        <w:t xml:space="preserve">чуждестранни физически лица. Върховен орган на ЮЛНЦ 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УС </w:t>
      </w:r>
      <w:r>
        <w:rPr>
          <w:rFonts w:ascii="Times New Roman" w:hAnsi="Times New Roman" w:cs="Times New Roman"/>
          <w:sz w:val="24"/>
          <w:szCs w:val="24"/>
        </w:rPr>
        <w:t>и се състои от 3</w:t>
      </w:r>
      <w:r w:rsidRPr="0043191A">
        <w:rPr>
          <w:rFonts w:ascii="Times New Roman" w:hAnsi="Times New Roman" w:cs="Times New Roman"/>
          <w:sz w:val="24"/>
          <w:szCs w:val="24"/>
        </w:rPr>
        <w:t xml:space="preserve"> лица Управителен орган на ЮЛНЦ е </w:t>
      </w:r>
      <w:r>
        <w:rPr>
          <w:rFonts w:ascii="Times New Roman" w:hAnsi="Times New Roman" w:cs="Times New Roman"/>
          <w:sz w:val="24"/>
          <w:szCs w:val="24"/>
          <w:lang w:val="bg-BG"/>
        </w:rPr>
        <w:t>УС</w:t>
      </w:r>
      <w:r w:rsidRPr="0043191A">
        <w:rPr>
          <w:rFonts w:ascii="Times New Roman" w:hAnsi="Times New Roman" w:cs="Times New Roman"/>
          <w:sz w:val="24"/>
          <w:szCs w:val="24"/>
        </w:rPr>
        <w:t xml:space="preserve"> и се състои от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3191A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Представляващ/и ЮЛНЦ е </w:t>
      </w:r>
      <w:r>
        <w:rPr>
          <w:rFonts w:ascii="Times New Roman" w:hAnsi="Times New Roman" w:cs="Times New Roman"/>
          <w:sz w:val="24"/>
          <w:szCs w:val="24"/>
          <w:lang w:val="bg-BG"/>
        </w:rPr>
        <w:t>1 лице, председател на УС.</w:t>
      </w:r>
      <w:r w:rsidRPr="00431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1A" w:rsidRDefault="0043191A" w:rsidP="0043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1A" w:rsidRDefault="0043191A" w:rsidP="0043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1A">
        <w:rPr>
          <w:rFonts w:ascii="Times New Roman" w:hAnsi="Times New Roman" w:cs="Times New Roman"/>
          <w:sz w:val="24"/>
          <w:szCs w:val="24"/>
        </w:rPr>
        <w:t xml:space="preserve">Целите на ЮЛНЦ са следните: </w:t>
      </w:r>
    </w:p>
    <w:p w:rsidR="0043191A" w:rsidRDefault="0043191A" w:rsidP="0043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1A" w:rsidRDefault="0043191A" w:rsidP="0043191A">
      <w:pPr>
        <w:pStyle w:val="NormalWeb"/>
      </w:pPr>
      <w:r>
        <w:t>1. Да създаде работещ модел за комуникация между медицинските специалисти, обществените организации, пациентите и медиите;</w:t>
      </w:r>
    </w:p>
    <w:p w:rsidR="0043191A" w:rsidRDefault="0043191A" w:rsidP="0043191A">
      <w:pPr>
        <w:pStyle w:val="NormalWeb"/>
      </w:pPr>
      <w:r>
        <w:t>2. Да съдейства за подобряване на комуникативните умения на медицинските специалисти, с цел яснота и достъпност на медицинската информация до немедицински лица;</w:t>
      </w:r>
    </w:p>
    <w:p w:rsidR="0043191A" w:rsidRDefault="0043191A" w:rsidP="0043191A">
      <w:pPr>
        <w:pStyle w:val="NormalWeb"/>
      </w:pPr>
      <w:r>
        <w:t>3. Да съдейства за повишаване на доверието от страна на немедицинските специалисти, обществените и пациентските организации, пациентите и медиите към работата на заетите в сферата на здравеопазването;</w:t>
      </w:r>
    </w:p>
    <w:p w:rsidR="0043191A" w:rsidRDefault="0043191A" w:rsidP="0043191A">
      <w:pPr>
        <w:pStyle w:val="NormalWeb"/>
      </w:pPr>
      <w:r>
        <w:t>4. Да създаде предпоставки за по-добра информираност относно профилактиката и лечението</w:t>
      </w:r>
      <w:proofErr w:type="gramStart"/>
      <w:r>
        <w:t>  на</w:t>
      </w:r>
      <w:proofErr w:type="gramEnd"/>
      <w:r>
        <w:t xml:space="preserve"> широк кръг заболявания;</w:t>
      </w:r>
    </w:p>
    <w:p w:rsidR="0043191A" w:rsidRDefault="0043191A" w:rsidP="0043191A">
      <w:pPr>
        <w:pStyle w:val="NormalWeb"/>
      </w:pPr>
      <w:r>
        <w:t>5. Да разпространява и популяризира на достъпен език профилактични програми и дейности, организирани от медицински специалисти;</w:t>
      </w:r>
    </w:p>
    <w:p w:rsidR="0043191A" w:rsidRDefault="0043191A" w:rsidP="0043191A">
      <w:pPr>
        <w:pStyle w:val="NormalWeb"/>
      </w:pPr>
      <w:r>
        <w:t>6. Да подпомага разпространение на знания и умения в областта на здравеопазването, свързани с комуникативната култура и информираността;</w:t>
      </w:r>
    </w:p>
    <w:p w:rsidR="0043191A" w:rsidRDefault="0043191A" w:rsidP="0043191A">
      <w:pPr>
        <w:pStyle w:val="NormalWeb"/>
      </w:pPr>
      <w:r>
        <w:t>7. Да насърчава и подкрепя инициативи на граждански, професионални и нестопански организации, свързани с повишаване на здравната култура и информираност;</w:t>
      </w:r>
    </w:p>
    <w:p w:rsidR="0043191A" w:rsidRDefault="0043191A" w:rsidP="0043191A">
      <w:pPr>
        <w:pStyle w:val="NormalWeb"/>
      </w:pPr>
      <w:r>
        <w:lastRenderedPageBreak/>
        <w:t>8. Да подпомага образованието в сферата на медицинската комуникация, развиването на проекти за комуникативни обучения в сферата на медицината;</w:t>
      </w:r>
    </w:p>
    <w:p w:rsidR="0043191A" w:rsidRDefault="0043191A" w:rsidP="0043191A">
      <w:pPr>
        <w:pStyle w:val="NormalWeb"/>
      </w:pPr>
      <w:r>
        <w:t>9. Да създава програми и обучителни материали по комуникативни умения и умения за връзки с обществеността, предназначени за образователните институции в сферата на медицината.</w:t>
      </w:r>
    </w:p>
    <w:p w:rsidR="0043191A" w:rsidRDefault="0043191A" w:rsidP="0043191A">
      <w:pPr>
        <w:pStyle w:val="NormalWeb"/>
      </w:pPr>
      <w:r>
        <w:t>10. Да работи с младежта, обществеността и правителствения сектор за повишаване на доверието към ме</w:t>
      </w:r>
      <w:r>
        <w:t>дицинската професия</w:t>
      </w:r>
    </w:p>
    <w:p w:rsidR="00904DCF" w:rsidRPr="0043191A" w:rsidRDefault="0043191A" w:rsidP="00431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91A">
        <w:rPr>
          <w:rFonts w:ascii="Times New Roman" w:hAnsi="Times New Roman" w:cs="Times New Roman"/>
          <w:sz w:val="24"/>
          <w:szCs w:val="24"/>
        </w:rPr>
        <w:t xml:space="preserve">ЮЛНЦ извършва дейност на територията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Република България. </w:t>
      </w:r>
      <w:r w:rsidRPr="0043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ЮЛНЦ </w:t>
      </w:r>
      <w:r w:rsidRPr="0043191A">
        <w:rPr>
          <w:rFonts w:ascii="Times New Roman" w:hAnsi="Times New Roman" w:cs="Times New Roman"/>
          <w:sz w:val="24"/>
          <w:szCs w:val="24"/>
        </w:rPr>
        <w:t>няма регистрирани клонове или регионални структури в страната или чужбина:</w:t>
      </w:r>
    </w:p>
    <w:p w:rsidR="00486675" w:rsidRDefault="00486675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3191A" w:rsidRPr="0043191A" w:rsidRDefault="0043191A" w:rsidP="008B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91A">
        <w:rPr>
          <w:rFonts w:ascii="Times New Roman" w:hAnsi="Times New Roman" w:cs="Times New Roman"/>
          <w:b/>
          <w:sz w:val="24"/>
          <w:szCs w:val="24"/>
          <w:lang w:val="bg-BG"/>
        </w:rPr>
        <w:t>Карта за оценка на риска</w:t>
      </w:r>
    </w:p>
    <w:p w:rsidR="0043191A" w:rsidRDefault="0043191A" w:rsidP="00A1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3191A" w:rsidRPr="0043191A" w:rsidTr="0043191A">
        <w:tc>
          <w:tcPr>
            <w:tcW w:w="9059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  <w:lang w:val="bg-BG"/>
              </w:rPr>
              <w:t>Степен  на вероятност на риска</w:t>
            </w:r>
          </w:p>
        </w:tc>
      </w:tr>
    </w:tbl>
    <w:p w:rsidR="0043191A" w:rsidRPr="0043191A" w:rsidRDefault="0043191A" w:rsidP="004319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2463"/>
        <w:gridCol w:w="1812"/>
        <w:gridCol w:w="1812"/>
      </w:tblGrid>
      <w:tr w:rsidR="0043191A" w:rsidRPr="0043191A" w:rsidTr="0043191A">
        <w:tc>
          <w:tcPr>
            <w:tcW w:w="279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  <w:lang w:val="bg-BG"/>
              </w:rPr>
              <w:t>Рисков фактор</w:t>
            </w:r>
          </w:p>
        </w:tc>
        <w:tc>
          <w:tcPr>
            <w:tcW w:w="246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Ниска степен на вероятност – може да се прояви само веднъж на 5 години</w:t>
            </w:r>
          </w:p>
        </w:tc>
        <w:tc>
          <w:tcPr>
            <w:tcW w:w="1812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Средна степен на вероятност – може да се прояви веднъж годишно</w:t>
            </w:r>
          </w:p>
        </w:tc>
        <w:tc>
          <w:tcPr>
            <w:tcW w:w="1812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Висока степен на вероятност - може да се прояви ежемесечно</w:t>
            </w:r>
          </w:p>
        </w:tc>
      </w:tr>
      <w:tr w:rsidR="0043191A" w:rsidTr="0043191A">
        <w:tc>
          <w:tcPr>
            <w:tcW w:w="279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Рискови фактори, свързани с клиента (по отношение на лицата, на които / от които се предоставят средства/услуги)</w:t>
            </w:r>
          </w:p>
        </w:tc>
        <w:tc>
          <w:tcPr>
            <w:tcW w:w="246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bg-BG"/>
              </w:rPr>
            </w:pPr>
            <w:r w:rsidRPr="0043191A">
              <w:rPr>
                <w:rFonts w:ascii="Times New Roman" w:hAnsi="Times New Roman" w:cs="Times New Roman"/>
                <w:b/>
                <w:color w:val="00B050"/>
                <w:lang w:val="bg-BG"/>
              </w:rPr>
              <w:t>Ниска</w:t>
            </w: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3191A" w:rsidTr="0043191A">
        <w:tc>
          <w:tcPr>
            <w:tcW w:w="279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Рискови фактори, свързани с географски риск по отношение на клиента:</w:t>
            </w:r>
          </w:p>
        </w:tc>
        <w:tc>
          <w:tcPr>
            <w:tcW w:w="246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bg-BG"/>
              </w:rPr>
            </w:pPr>
            <w:r w:rsidRPr="0043191A">
              <w:rPr>
                <w:rFonts w:ascii="Times New Roman" w:hAnsi="Times New Roman" w:cs="Times New Roman"/>
                <w:b/>
                <w:color w:val="00B050"/>
                <w:lang w:val="bg-BG"/>
              </w:rPr>
              <w:t>Ниска</w:t>
            </w: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3191A" w:rsidTr="0043191A">
        <w:tc>
          <w:tcPr>
            <w:tcW w:w="279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Риск, свързан с приходите за дейността на ЮЛНЦ (начин на получаване, размери, местоизвършване, предмет на дейност)</w:t>
            </w:r>
          </w:p>
        </w:tc>
        <w:tc>
          <w:tcPr>
            <w:tcW w:w="246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bg-BG"/>
              </w:rPr>
            </w:pPr>
            <w:r w:rsidRPr="0043191A">
              <w:rPr>
                <w:rFonts w:ascii="Times New Roman" w:hAnsi="Times New Roman" w:cs="Times New Roman"/>
                <w:b/>
                <w:color w:val="00B050"/>
                <w:lang w:val="bg-BG"/>
              </w:rPr>
              <w:t>Ниска</w:t>
            </w: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3191A" w:rsidTr="0043191A">
        <w:tc>
          <w:tcPr>
            <w:tcW w:w="279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</w:rPr>
              <w:t>Риск, свързан с разходите за дейността на ЮЛНЦ (начин на доставки, направление, размери, прозрачност):</w:t>
            </w:r>
          </w:p>
        </w:tc>
        <w:tc>
          <w:tcPr>
            <w:tcW w:w="246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bg-BG"/>
              </w:rPr>
            </w:pPr>
            <w:r w:rsidRPr="0043191A">
              <w:rPr>
                <w:rFonts w:ascii="Times New Roman" w:hAnsi="Times New Roman" w:cs="Times New Roman"/>
                <w:b/>
                <w:color w:val="00B050"/>
                <w:lang w:val="bg-BG"/>
              </w:rPr>
              <w:t>Ниска</w:t>
            </w: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3191A" w:rsidTr="0043191A">
        <w:tc>
          <w:tcPr>
            <w:tcW w:w="279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3191A">
              <w:rPr>
                <w:rFonts w:ascii="Times New Roman" w:hAnsi="Times New Roman" w:cs="Times New Roman"/>
                <w:lang w:val="bg-BG"/>
              </w:rPr>
              <w:t>Пари в брой</w:t>
            </w:r>
          </w:p>
        </w:tc>
        <w:tc>
          <w:tcPr>
            <w:tcW w:w="2463" w:type="dxa"/>
          </w:tcPr>
          <w:p w:rsidR="0043191A" w:rsidRP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val="bg-BG"/>
              </w:rPr>
            </w:pPr>
            <w:r w:rsidRPr="0043191A">
              <w:rPr>
                <w:rFonts w:ascii="Times New Roman" w:hAnsi="Times New Roman" w:cs="Times New Roman"/>
                <w:b/>
                <w:color w:val="00B050"/>
                <w:lang w:val="bg-BG"/>
              </w:rPr>
              <w:t>Ниска</w:t>
            </w: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2" w:type="dxa"/>
          </w:tcPr>
          <w:p w:rsidR="0043191A" w:rsidRDefault="0043191A" w:rsidP="0043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4C5421" w:rsidRPr="00A112A7" w:rsidRDefault="004C5421" w:rsidP="00DF2CA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sectPr w:rsidR="004C5421" w:rsidRPr="00A112A7" w:rsidSect="002E20CA">
      <w:headerReference w:type="default" r:id="rId8"/>
      <w:footerReference w:type="default" r:id="rId9"/>
      <w:pgSz w:w="12240" w:h="15840"/>
      <w:pgMar w:top="1239" w:right="1138" w:bottom="1382" w:left="2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DC" w:rsidRDefault="00F468DC" w:rsidP="00DF2CA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68DC" w:rsidRDefault="00F468DC" w:rsidP="00DF2CA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31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C7A" w:rsidRDefault="009F2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F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2C7A" w:rsidRDefault="009F2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DC" w:rsidRDefault="00F468DC" w:rsidP="00DF2CA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68DC" w:rsidRDefault="00F468DC" w:rsidP="00DF2CA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7A" w:rsidRDefault="009F2C7A" w:rsidP="00467072">
    <w:pPr>
      <w:pStyle w:val="Header"/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cs="Times New Roman"/>
        <w:noProof/>
      </w:rPr>
      <w:drawing>
        <wp:inline distT="0" distB="0" distL="0" distR="0" wp14:anchorId="43E19750" wp14:editId="4076A756">
          <wp:extent cx="990600" cy="75401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373" cy="75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val="bg-BG"/>
      </w:rPr>
      <w:t>ИНСТИТУТ ЗА ЗДРАВНО ОБРАЗОВАНИЕ</w:t>
    </w:r>
  </w:p>
  <w:p w:rsidR="009F2C7A" w:rsidRPr="00467072" w:rsidRDefault="009F2C7A" w:rsidP="00467072">
    <w:pPr>
      <w:pStyle w:val="Header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467072">
      <w:rPr>
        <w:rFonts w:ascii="Times New Roman" w:hAnsi="Times New Roman" w:cs="Times New Roman"/>
        <w:sz w:val="24"/>
        <w:szCs w:val="24"/>
        <w:lang w:val="bg-BG"/>
      </w:rPr>
      <w:t>София, 1799, п.к.30, тел.070010126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F"/>
    <w:multiLevelType w:val="hybridMultilevel"/>
    <w:tmpl w:val="91003740"/>
    <w:lvl w:ilvl="0" w:tplc="5ED8E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FF6"/>
    <w:multiLevelType w:val="hybridMultilevel"/>
    <w:tmpl w:val="9280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54A"/>
    <w:multiLevelType w:val="hybridMultilevel"/>
    <w:tmpl w:val="C1E4C5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556"/>
    <w:multiLevelType w:val="hybridMultilevel"/>
    <w:tmpl w:val="83BAF3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017B"/>
    <w:multiLevelType w:val="hybridMultilevel"/>
    <w:tmpl w:val="13D63B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8E6DA5"/>
    <w:multiLevelType w:val="hybridMultilevel"/>
    <w:tmpl w:val="545E22B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51084FC">
      <w:start w:val="1"/>
      <w:numFmt w:val="bullet"/>
      <w:lvlText w:val="o"/>
      <w:lvlJc w:val="left"/>
      <w:pPr>
        <w:tabs>
          <w:tab w:val="num" w:pos="-1640"/>
        </w:tabs>
        <w:ind w:left="-1640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color w:val="auto"/>
      </w:rPr>
    </w:lvl>
    <w:lvl w:ilvl="4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031C08"/>
    <w:multiLevelType w:val="hybridMultilevel"/>
    <w:tmpl w:val="1D1E7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178"/>
    <w:multiLevelType w:val="hybridMultilevel"/>
    <w:tmpl w:val="BB72BC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E83C06"/>
    <w:multiLevelType w:val="hybridMultilevel"/>
    <w:tmpl w:val="EF60EB88"/>
    <w:lvl w:ilvl="0" w:tplc="9A2AE0E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D37435"/>
    <w:multiLevelType w:val="hybridMultilevel"/>
    <w:tmpl w:val="BC2C6C2C"/>
    <w:lvl w:ilvl="0" w:tplc="E7322B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051084FC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 w:tplc="0409000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051E57"/>
    <w:multiLevelType w:val="hybridMultilevel"/>
    <w:tmpl w:val="2D324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D22A27"/>
    <w:multiLevelType w:val="hybridMultilevel"/>
    <w:tmpl w:val="A6DA63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867AEE"/>
    <w:multiLevelType w:val="hybridMultilevel"/>
    <w:tmpl w:val="685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7B5E12"/>
    <w:multiLevelType w:val="hybridMultilevel"/>
    <w:tmpl w:val="263A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1F5A"/>
    <w:multiLevelType w:val="hybridMultilevel"/>
    <w:tmpl w:val="E10E71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1257C"/>
    <w:multiLevelType w:val="hybridMultilevel"/>
    <w:tmpl w:val="FF142D88"/>
    <w:lvl w:ilvl="0" w:tplc="9058F84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1612FB"/>
    <w:multiLevelType w:val="hybridMultilevel"/>
    <w:tmpl w:val="98D2228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26B98"/>
    <w:multiLevelType w:val="hybridMultilevel"/>
    <w:tmpl w:val="E8C09068"/>
    <w:lvl w:ilvl="0" w:tplc="AB2EA8B6">
      <w:start w:val="1"/>
      <w:numFmt w:val="bullet"/>
      <w:lvlText w:val="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27C85"/>
    <w:multiLevelType w:val="hybridMultilevel"/>
    <w:tmpl w:val="7AB4CA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342784"/>
    <w:multiLevelType w:val="hybridMultilevel"/>
    <w:tmpl w:val="634E3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4360"/>
    <w:multiLevelType w:val="hybridMultilevel"/>
    <w:tmpl w:val="12581B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211DCD"/>
    <w:multiLevelType w:val="hybridMultilevel"/>
    <w:tmpl w:val="04F8E51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C71DB"/>
    <w:multiLevelType w:val="hybridMultilevel"/>
    <w:tmpl w:val="81E25A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266CFA"/>
    <w:multiLevelType w:val="hybridMultilevel"/>
    <w:tmpl w:val="5F6AD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A3CEB"/>
    <w:multiLevelType w:val="hybridMultilevel"/>
    <w:tmpl w:val="629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7D5E"/>
    <w:multiLevelType w:val="hybridMultilevel"/>
    <w:tmpl w:val="6B3C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A4AF8"/>
    <w:multiLevelType w:val="hybridMultilevel"/>
    <w:tmpl w:val="FEA24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D46D0"/>
    <w:multiLevelType w:val="hybridMultilevel"/>
    <w:tmpl w:val="F3A228A0"/>
    <w:lvl w:ilvl="0" w:tplc="FD880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C0000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409C"/>
    <w:multiLevelType w:val="hybridMultilevel"/>
    <w:tmpl w:val="392CC49C"/>
    <w:lvl w:ilvl="0" w:tplc="458432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7B8562F6"/>
    <w:multiLevelType w:val="hybridMultilevel"/>
    <w:tmpl w:val="E006CB3A"/>
    <w:lvl w:ilvl="0" w:tplc="E7322B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051084FC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D74355"/>
    <w:multiLevelType w:val="hybridMultilevel"/>
    <w:tmpl w:val="8AB25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E437D"/>
    <w:multiLevelType w:val="hybridMultilevel"/>
    <w:tmpl w:val="877AEC4A"/>
    <w:lvl w:ilvl="0" w:tplc="E7322B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51084FC">
      <w:start w:val="1"/>
      <w:numFmt w:val="bullet"/>
      <w:lvlText w:val="o"/>
      <w:lvlJc w:val="left"/>
      <w:pPr>
        <w:tabs>
          <w:tab w:val="num" w:pos="-1292"/>
        </w:tabs>
        <w:ind w:left="-1292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cs="Symbol" w:hint="default"/>
        <w:color w:val="auto"/>
      </w:rPr>
    </w:lvl>
    <w:lvl w:ilvl="4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5" w:tplc="0402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27"/>
  </w:num>
  <w:num w:numId="8">
    <w:abstractNumId w:val="12"/>
  </w:num>
  <w:num w:numId="9">
    <w:abstractNumId w:val="20"/>
  </w:num>
  <w:num w:numId="10">
    <w:abstractNumId w:val="8"/>
  </w:num>
  <w:num w:numId="11">
    <w:abstractNumId w:val="26"/>
  </w:num>
  <w:num w:numId="12">
    <w:abstractNumId w:val="16"/>
  </w:num>
  <w:num w:numId="13">
    <w:abstractNumId w:val="28"/>
  </w:num>
  <w:num w:numId="14">
    <w:abstractNumId w:val="17"/>
  </w:num>
  <w:num w:numId="15">
    <w:abstractNumId w:val="21"/>
  </w:num>
  <w:num w:numId="16">
    <w:abstractNumId w:val="11"/>
  </w:num>
  <w:num w:numId="17">
    <w:abstractNumId w:val="22"/>
  </w:num>
  <w:num w:numId="18">
    <w:abstractNumId w:val="2"/>
  </w:num>
  <w:num w:numId="19">
    <w:abstractNumId w:val="31"/>
  </w:num>
  <w:num w:numId="20">
    <w:abstractNumId w:val="5"/>
  </w:num>
  <w:num w:numId="21">
    <w:abstractNumId w:val="6"/>
  </w:num>
  <w:num w:numId="22">
    <w:abstractNumId w:val="19"/>
  </w:num>
  <w:num w:numId="23">
    <w:abstractNumId w:val="25"/>
  </w:num>
  <w:num w:numId="24">
    <w:abstractNumId w:val="24"/>
  </w:num>
  <w:num w:numId="25">
    <w:abstractNumId w:val="30"/>
  </w:num>
  <w:num w:numId="26">
    <w:abstractNumId w:val="3"/>
  </w:num>
  <w:num w:numId="27">
    <w:abstractNumId w:val="14"/>
  </w:num>
  <w:num w:numId="28">
    <w:abstractNumId w:val="23"/>
  </w:num>
  <w:num w:numId="29">
    <w:abstractNumId w:val="0"/>
  </w:num>
  <w:num w:numId="30">
    <w:abstractNumId w:val="7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A3"/>
    <w:rsid w:val="00000506"/>
    <w:rsid w:val="00004835"/>
    <w:rsid w:val="00011802"/>
    <w:rsid w:val="000163CB"/>
    <w:rsid w:val="000238F6"/>
    <w:rsid w:val="0002555F"/>
    <w:rsid w:val="0004001F"/>
    <w:rsid w:val="00057FC0"/>
    <w:rsid w:val="00061DF3"/>
    <w:rsid w:val="000650D1"/>
    <w:rsid w:val="000763AC"/>
    <w:rsid w:val="00077E77"/>
    <w:rsid w:val="00080090"/>
    <w:rsid w:val="0008208E"/>
    <w:rsid w:val="00086C87"/>
    <w:rsid w:val="00087C0B"/>
    <w:rsid w:val="00097DDA"/>
    <w:rsid w:val="000A0667"/>
    <w:rsid w:val="000A5E22"/>
    <w:rsid w:val="000B2E75"/>
    <w:rsid w:val="000B6863"/>
    <w:rsid w:val="000C54B1"/>
    <w:rsid w:val="000D5457"/>
    <w:rsid w:val="000E4329"/>
    <w:rsid w:val="000E70FF"/>
    <w:rsid w:val="000E79E9"/>
    <w:rsid w:val="000E7E0F"/>
    <w:rsid w:val="00101B04"/>
    <w:rsid w:val="00103208"/>
    <w:rsid w:val="00106AA9"/>
    <w:rsid w:val="00130128"/>
    <w:rsid w:val="00133934"/>
    <w:rsid w:val="00137B86"/>
    <w:rsid w:val="00144219"/>
    <w:rsid w:val="001451E4"/>
    <w:rsid w:val="00151A6F"/>
    <w:rsid w:val="0015376B"/>
    <w:rsid w:val="001642C5"/>
    <w:rsid w:val="0017752A"/>
    <w:rsid w:val="00182B55"/>
    <w:rsid w:val="00196827"/>
    <w:rsid w:val="001A2C8A"/>
    <w:rsid w:val="001B036C"/>
    <w:rsid w:val="001B34FA"/>
    <w:rsid w:val="001E615D"/>
    <w:rsid w:val="001E674D"/>
    <w:rsid w:val="001F48B3"/>
    <w:rsid w:val="002039F7"/>
    <w:rsid w:val="00207794"/>
    <w:rsid w:val="00212375"/>
    <w:rsid w:val="002203F6"/>
    <w:rsid w:val="002230BF"/>
    <w:rsid w:val="002238BB"/>
    <w:rsid w:val="00231918"/>
    <w:rsid w:val="00237506"/>
    <w:rsid w:val="002407ED"/>
    <w:rsid w:val="00240AE2"/>
    <w:rsid w:val="0024168D"/>
    <w:rsid w:val="002473DD"/>
    <w:rsid w:val="00253458"/>
    <w:rsid w:val="00255B29"/>
    <w:rsid w:val="00255BF5"/>
    <w:rsid w:val="002723F3"/>
    <w:rsid w:val="00286153"/>
    <w:rsid w:val="00286D6F"/>
    <w:rsid w:val="00290B90"/>
    <w:rsid w:val="0029483B"/>
    <w:rsid w:val="002948F2"/>
    <w:rsid w:val="0029542A"/>
    <w:rsid w:val="002B0669"/>
    <w:rsid w:val="002B6AC1"/>
    <w:rsid w:val="002C031D"/>
    <w:rsid w:val="002C42C4"/>
    <w:rsid w:val="002E20CA"/>
    <w:rsid w:val="002E5FD4"/>
    <w:rsid w:val="0030104F"/>
    <w:rsid w:val="0030614F"/>
    <w:rsid w:val="0032135D"/>
    <w:rsid w:val="0033532B"/>
    <w:rsid w:val="003378E6"/>
    <w:rsid w:val="00357F5A"/>
    <w:rsid w:val="00383A67"/>
    <w:rsid w:val="00384AA1"/>
    <w:rsid w:val="00385285"/>
    <w:rsid w:val="003C02D2"/>
    <w:rsid w:val="003C6413"/>
    <w:rsid w:val="003D2BAB"/>
    <w:rsid w:val="003D6794"/>
    <w:rsid w:val="003E3217"/>
    <w:rsid w:val="003E3E37"/>
    <w:rsid w:val="003F03F2"/>
    <w:rsid w:val="00405937"/>
    <w:rsid w:val="00406C98"/>
    <w:rsid w:val="00407DBB"/>
    <w:rsid w:val="00413671"/>
    <w:rsid w:val="00415679"/>
    <w:rsid w:val="0041780E"/>
    <w:rsid w:val="0043191A"/>
    <w:rsid w:val="004451E4"/>
    <w:rsid w:val="004454F6"/>
    <w:rsid w:val="00453F87"/>
    <w:rsid w:val="00467072"/>
    <w:rsid w:val="004732E5"/>
    <w:rsid w:val="00480DC2"/>
    <w:rsid w:val="0048304C"/>
    <w:rsid w:val="00484B89"/>
    <w:rsid w:val="00485C8C"/>
    <w:rsid w:val="00486675"/>
    <w:rsid w:val="0049297A"/>
    <w:rsid w:val="00493150"/>
    <w:rsid w:val="004A4535"/>
    <w:rsid w:val="004B3608"/>
    <w:rsid w:val="004B52FE"/>
    <w:rsid w:val="004C5421"/>
    <w:rsid w:val="004D7C82"/>
    <w:rsid w:val="004E5023"/>
    <w:rsid w:val="004F0909"/>
    <w:rsid w:val="00503088"/>
    <w:rsid w:val="00503CF7"/>
    <w:rsid w:val="00506E15"/>
    <w:rsid w:val="005255C0"/>
    <w:rsid w:val="00526C70"/>
    <w:rsid w:val="005354D0"/>
    <w:rsid w:val="005427A2"/>
    <w:rsid w:val="00563CE2"/>
    <w:rsid w:val="00570532"/>
    <w:rsid w:val="00576311"/>
    <w:rsid w:val="00582678"/>
    <w:rsid w:val="00585F9B"/>
    <w:rsid w:val="005973FE"/>
    <w:rsid w:val="0059784A"/>
    <w:rsid w:val="005B1443"/>
    <w:rsid w:val="005C4E4C"/>
    <w:rsid w:val="005D04F4"/>
    <w:rsid w:val="005D0BF6"/>
    <w:rsid w:val="006104B2"/>
    <w:rsid w:val="00616CAB"/>
    <w:rsid w:val="0062321A"/>
    <w:rsid w:val="00624FD1"/>
    <w:rsid w:val="006345DD"/>
    <w:rsid w:val="00635786"/>
    <w:rsid w:val="00650BF4"/>
    <w:rsid w:val="00651F95"/>
    <w:rsid w:val="006641AF"/>
    <w:rsid w:val="00665526"/>
    <w:rsid w:val="00682D5F"/>
    <w:rsid w:val="00685F8B"/>
    <w:rsid w:val="00687FA0"/>
    <w:rsid w:val="00694930"/>
    <w:rsid w:val="006A1E43"/>
    <w:rsid w:val="006B1D37"/>
    <w:rsid w:val="006C1449"/>
    <w:rsid w:val="006D0B67"/>
    <w:rsid w:val="006E17E8"/>
    <w:rsid w:val="006E78F3"/>
    <w:rsid w:val="006F1315"/>
    <w:rsid w:val="006F2283"/>
    <w:rsid w:val="00700CB7"/>
    <w:rsid w:val="007041D1"/>
    <w:rsid w:val="00706B9B"/>
    <w:rsid w:val="00707F7F"/>
    <w:rsid w:val="00716CBB"/>
    <w:rsid w:val="00716DE5"/>
    <w:rsid w:val="00720A74"/>
    <w:rsid w:val="007612FD"/>
    <w:rsid w:val="00763058"/>
    <w:rsid w:val="00763FC6"/>
    <w:rsid w:val="00785F36"/>
    <w:rsid w:val="0078698E"/>
    <w:rsid w:val="007908A6"/>
    <w:rsid w:val="00793770"/>
    <w:rsid w:val="00794EF6"/>
    <w:rsid w:val="00797D54"/>
    <w:rsid w:val="007A4FAF"/>
    <w:rsid w:val="007A7086"/>
    <w:rsid w:val="007C213D"/>
    <w:rsid w:val="007D5238"/>
    <w:rsid w:val="007D556E"/>
    <w:rsid w:val="007E0B44"/>
    <w:rsid w:val="007F244F"/>
    <w:rsid w:val="007F43F3"/>
    <w:rsid w:val="007F743A"/>
    <w:rsid w:val="00820657"/>
    <w:rsid w:val="0082272E"/>
    <w:rsid w:val="00824731"/>
    <w:rsid w:val="00824DA6"/>
    <w:rsid w:val="008346C8"/>
    <w:rsid w:val="00836A74"/>
    <w:rsid w:val="008520BF"/>
    <w:rsid w:val="00861792"/>
    <w:rsid w:val="00872113"/>
    <w:rsid w:val="00877528"/>
    <w:rsid w:val="00884256"/>
    <w:rsid w:val="008866E7"/>
    <w:rsid w:val="00890A74"/>
    <w:rsid w:val="00893CBE"/>
    <w:rsid w:val="008A2E49"/>
    <w:rsid w:val="008A6E71"/>
    <w:rsid w:val="008B4F04"/>
    <w:rsid w:val="008B6A7D"/>
    <w:rsid w:val="008E11AE"/>
    <w:rsid w:val="008E44ED"/>
    <w:rsid w:val="008E5A40"/>
    <w:rsid w:val="00902685"/>
    <w:rsid w:val="00902B8E"/>
    <w:rsid w:val="00904DCF"/>
    <w:rsid w:val="00935D68"/>
    <w:rsid w:val="00947328"/>
    <w:rsid w:val="00955F5E"/>
    <w:rsid w:val="00971B7A"/>
    <w:rsid w:val="00974E0F"/>
    <w:rsid w:val="00993615"/>
    <w:rsid w:val="009970DE"/>
    <w:rsid w:val="009A3B47"/>
    <w:rsid w:val="009B0069"/>
    <w:rsid w:val="009D62DD"/>
    <w:rsid w:val="009E09FF"/>
    <w:rsid w:val="009F2C7A"/>
    <w:rsid w:val="00A02919"/>
    <w:rsid w:val="00A02B0E"/>
    <w:rsid w:val="00A0320E"/>
    <w:rsid w:val="00A112A7"/>
    <w:rsid w:val="00A14B68"/>
    <w:rsid w:val="00A20694"/>
    <w:rsid w:val="00A23AA6"/>
    <w:rsid w:val="00A344FB"/>
    <w:rsid w:val="00A34856"/>
    <w:rsid w:val="00A43F83"/>
    <w:rsid w:val="00A64883"/>
    <w:rsid w:val="00A66FF7"/>
    <w:rsid w:val="00A86998"/>
    <w:rsid w:val="00A93110"/>
    <w:rsid w:val="00AA1249"/>
    <w:rsid w:val="00AE0963"/>
    <w:rsid w:val="00AE5989"/>
    <w:rsid w:val="00AE6883"/>
    <w:rsid w:val="00AF4220"/>
    <w:rsid w:val="00AF51F4"/>
    <w:rsid w:val="00AF5952"/>
    <w:rsid w:val="00B02EF4"/>
    <w:rsid w:val="00B06D7F"/>
    <w:rsid w:val="00B070A1"/>
    <w:rsid w:val="00B100CE"/>
    <w:rsid w:val="00B115B9"/>
    <w:rsid w:val="00B1614A"/>
    <w:rsid w:val="00B21D56"/>
    <w:rsid w:val="00B35E70"/>
    <w:rsid w:val="00B36DD3"/>
    <w:rsid w:val="00B41EFB"/>
    <w:rsid w:val="00B42159"/>
    <w:rsid w:val="00B506F8"/>
    <w:rsid w:val="00B519CB"/>
    <w:rsid w:val="00B52ADA"/>
    <w:rsid w:val="00B7089E"/>
    <w:rsid w:val="00B713D2"/>
    <w:rsid w:val="00B736F8"/>
    <w:rsid w:val="00B74108"/>
    <w:rsid w:val="00B75D2A"/>
    <w:rsid w:val="00B76E24"/>
    <w:rsid w:val="00B911BA"/>
    <w:rsid w:val="00BA498E"/>
    <w:rsid w:val="00BB23D9"/>
    <w:rsid w:val="00BB4446"/>
    <w:rsid w:val="00BC2256"/>
    <w:rsid w:val="00BC561D"/>
    <w:rsid w:val="00BD3E52"/>
    <w:rsid w:val="00BE1787"/>
    <w:rsid w:val="00BF0198"/>
    <w:rsid w:val="00BF598E"/>
    <w:rsid w:val="00C04E71"/>
    <w:rsid w:val="00C071FD"/>
    <w:rsid w:val="00C10378"/>
    <w:rsid w:val="00C12D4C"/>
    <w:rsid w:val="00C265CC"/>
    <w:rsid w:val="00C33A1C"/>
    <w:rsid w:val="00C54991"/>
    <w:rsid w:val="00C6389F"/>
    <w:rsid w:val="00C7493F"/>
    <w:rsid w:val="00C86741"/>
    <w:rsid w:val="00CA6593"/>
    <w:rsid w:val="00CA6A42"/>
    <w:rsid w:val="00CA73AD"/>
    <w:rsid w:val="00CC7C34"/>
    <w:rsid w:val="00CD4F03"/>
    <w:rsid w:val="00CE2BFC"/>
    <w:rsid w:val="00CE3FCC"/>
    <w:rsid w:val="00CE51C3"/>
    <w:rsid w:val="00CE7348"/>
    <w:rsid w:val="00CF2682"/>
    <w:rsid w:val="00D0214F"/>
    <w:rsid w:val="00D049B2"/>
    <w:rsid w:val="00D15DA8"/>
    <w:rsid w:val="00D1676E"/>
    <w:rsid w:val="00D34488"/>
    <w:rsid w:val="00D401D0"/>
    <w:rsid w:val="00D44FD2"/>
    <w:rsid w:val="00D61A04"/>
    <w:rsid w:val="00D64A12"/>
    <w:rsid w:val="00D71446"/>
    <w:rsid w:val="00D7175E"/>
    <w:rsid w:val="00D7757B"/>
    <w:rsid w:val="00D95E58"/>
    <w:rsid w:val="00D97E95"/>
    <w:rsid w:val="00DA008F"/>
    <w:rsid w:val="00DA1DD3"/>
    <w:rsid w:val="00DA64FB"/>
    <w:rsid w:val="00DA68FF"/>
    <w:rsid w:val="00DB4821"/>
    <w:rsid w:val="00DC70AC"/>
    <w:rsid w:val="00DD6902"/>
    <w:rsid w:val="00DD6C7D"/>
    <w:rsid w:val="00DE4003"/>
    <w:rsid w:val="00DF2CA3"/>
    <w:rsid w:val="00E043CF"/>
    <w:rsid w:val="00E14E1B"/>
    <w:rsid w:val="00E17A45"/>
    <w:rsid w:val="00E2000C"/>
    <w:rsid w:val="00E202AD"/>
    <w:rsid w:val="00E20A4B"/>
    <w:rsid w:val="00E227F1"/>
    <w:rsid w:val="00E345F7"/>
    <w:rsid w:val="00E37604"/>
    <w:rsid w:val="00E42236"/>
    <w:rsid w:val="00E6129C"/>
    <w:rsid w:val="00E77271"/>
    <w:rsid w:val="00E804EB"/>
    <w:rsid w:val="00E90C68"/>
    <w:rsid w:val="00EB0D4D"/>
    <w:rsid w:val="00EC6417"/>
    <w:rsid w:val="00ED0360"/>
    <w:rsid w:val="00ED4624"/>
    <w:rsid w:val="00ED7931"/>
    <w:rsid w:val="00EE072A"/>
    <w:rsid w:val="00EF1287"/>
    <w:rsid w:val="00F044AB"/>
    <w:rsid w:val="00F1671C"/>
    <w:rsid w:val="00F2085A"/>
    <w:rsid w:val="00F24D71"/>
    <w:rsid w:val="00F368F7"/>
    <w:rsid w:val="00F37531"/>
    <w:rsid w:val="00F468DC"/>
    <w:rsid w:val="00F47215"/>
    <w:rsid w:val="00F5224D"/>
    <w:rsid w:val="00F529E3"/>
    <w:rsid w:val="00F57626"/>
    <w:rsid w:val="00F656AF"/>
    <w:rsid w:val="00F9333A"/>
    <w:rsid w:val="00F9346C"/>
    <w:rsid w:val="00F95A2E"/>
    <w:rsid w:val="00FB11A2"/>
    <w:rsid w:val="00FB783D"/>
    <w:rsid w:val="00FD35B5"/>
    <w:rsid w:val="00FD460A"/>
    <w:rsid w:val="00FE43A0"/>
    <w:rsid w:val="00FE79E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C5756"/>
  <w15:docId w15:val="{C7952F00-A2BC-4245-BF19-0617BA7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A3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B2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F2CA3"/>
  </w:style>
  <w:style w:type="character" w:styleId="Hyperlink">
    <w:name w:val="Hyperlink"/>
    <w:basedOn w:val="DefaultParagraphFont"/>
    <w:uiPriority w:val="99"/>
    <w:rsid w:val="00DF2CA3"/>
    <w:rPr>
      <w:color w:val="0000FF"/>
      <w:u w:val="single"/>
    </w:rPr>
  </w:style>
  <w:style w:type="paragraph" w:styleId="NoSpacing">
    <w:name w:val="No Spacing"/>
    <w:uiPriority w:val="99"/>
    <w:qFormat/>
    <w:rsid w:val="00DF2CA3"/>
    <w:rPr>
      <w:rFonts w:cs="Calibr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F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2CA3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F2C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CA3"/>
    <w:pPr>
      <w:ind w:left="720"/>
    </w:pPr>
  </w:style>
  <w:style w:type="paragraph" w:styleId="Header">
    <w:name w:val="header"/>
    <w:basedOn w:val="Normal"/>
    <w:link w:val="HeaderChar"/>
    <w:uiPriority w:val="99"/>
    <w:rsid w:val="00DF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CA3"/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C6389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E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0FF"/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72E"/>
    <w:rPr>
      <w:rFonts w:eastAsia="Times New Roman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2E"/>
    <w:rPr>
      <w:rFonts w:eastAsia="Times New Roman" w:cs="Calibr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2E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A112A7"/>
  </w:style>
  <w:style w:type="character" w:styleId="FollowedHyperlink">
    <w:name w:val="FollowedHyperlink"/>
    <w:basedOn w:val="DefaultParagraphFont"/>
    <w:uiPriority w:val="99"/>
    <w:semiHidden/>
    <w:unhideWhenUsed/>
    <w:rsid w:val="00A112A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31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BDE9-C286-4680-AC3E-B1CC219E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за кампания по заболяването предсърдно мъждене</vt:lpstr>
    </vt:vector>
  </TitlesOfParts>
  <Company>Home</Company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кампания по заболяването предсърдно мъждене</dc:title>
  <dc:creator>Веселина</dc:creator>
  <cp:lastModifiedBy>Work</cp:lastModifiedBy>
  <cp:revision>5</cp:revision>
  <dcterms:created xsi:type="dcterms:W3CDTF">2020-08-20T10:24:00Z</dcterms:created>
  <dcterms:modified xsi:type="dcterms:W3CDTF">2020-08-20T10:34:00Z</dcterms:modified>
</cp:coreProperties>
</file>